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55"/>
        <w:contextualSpacing w:val="0"/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—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commentRangeStart w:id="0"/>
      <w:r w:rsidDel="00000000" w:rsidR="00000000" w:rsidRPr="00000000">
        <w:rPr>
          <w:i w:val="1"/>
          <w:rtl w:val="0"/>
        </w:rPr>
        <w:t xml:space="preserve">Вингардиум левиоса.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Затем профессор Эванс-Веррес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это за словосочетание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6-06-15T19:58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убрала большую Л - Если заклинание или любое другое название предмета или места состоит из двух и более слов, то с большой буквы пишется только первое слово, как написано у нас в списке используемых слов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