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ejz18gdmxkf" w:id="0"/>
      <w:bookmarkEnd w:id="0"/>
      <w:r w:rsidDel="00000000" w:rsidR="00000000" w:rsidRPr="00000000">
        <w:rPr>
          <w:rtl w:val="0"/>
        </w:rPr>
        <w:t xml:space="preserve">Глава 10. </w:t>
      </w:r>
      <w:r w:rsidDel="00000000" w:rsidR="00000000" w:rsidRPr="00000000">
        <w:rPr>
          <w:rtl w:val="0"/>
        </w:rPr>
        <w:t xml:space="preserve">Самосознание.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болтливая шляпа, и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о’кей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сплю весь год, поработав день…»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на голову телепатический артефакт, созданный с помощью давно забытой магии восемьсот лет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сути,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тоже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никогда не стану таким!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Никакой я не потенциальный Тёмный Лорд!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сойдет с рук…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отказаться, и плевать на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пророчество…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если пророчества не было, это ведь я победил его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ужасное…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 НО БУДЕТ ОЧЕНЬ ПЛОХО!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это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и это тоже не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пусть будет так. Отправляй меня в Когтевран, к подобным мне.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самое страшное,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заставит её это организовать…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удовольствием. Кстати, у тебя были беседы интереснее этой?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К-курицы?..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ты, коварная ГАДИНА!..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 по-другому, что угодно, до того как стало слишком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