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 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 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 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 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 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 Яги…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 Яги, позволяющую менять внешность, и о том, как эта мысль воспламенила её страсть. И вот Перенель убедила Бабу 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 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 Ягу уловкой вынудили нарушить клятву, и Кубок сделал её беззащитной. Затем Перенель убила ничего не подозревающую Бабу 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 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 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 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54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5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ни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