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del w:author="Alaric Lightin" w:id="0" w:date="2017-11-20T09:38:51Z">
        <w:r w:rsidDel="00000000" w:rsidR="00000000" w:rsidRPr="00000000">
          <w:rPr>
            <w:rFonts w:ascii="Times New Roman" w:cs="Times New Roman" w:eastAsia="Times New Roman" w:hAnsi="Times New Roman"/>
            <w:sz w:val="24"/>
            <w:szCs w:val="24"/>
            <w:rtl w:val="0"/>
          </w:rPr>
          <w:delText xml:space="preserve">,</w:delText>
        </w:r>
      </w:del>
      <w:ins w:author="Alaric Lightin" w:id="0" w:date="2017-11-20T09:38:51Z">
        <w:r w:rsidDel="00000000" w:rsidR="00000000" w:rsidRPr="00000000">
          <w:rPr>
            <w:rFonts w:ascii="Times New Roman" w:cs="Times New Roman" w:eastAsia="Times New Roman" w:hAnsi="Times New Roman"/>
            <w:sz w:val="24"/>
            <w:szCs w:val="24"/>
            <w:rtl w:val="0"/>
          </w:rPr>
          <w:t xml:space="preserve"> ли</w:t>
        </w:r>
      </w:ins>
      <w:r w:rsidDel="00000000" w:rsidR="00000000" w:rsidRPr="00000000">
        <w:rPr>
          <w:rFonts w:ascii="Times New Roman" w:cs="Times New Roman" w:eastAsia="Times New Roman" w:hAnsi="Times New Roman"/>
          <w:sz w:val="24"/>
          <w:szCs w:val="24"/>
          <w:rtl w:val="0"/>
        </w:rPr>
        <w:t xml:space="preserve"> изучавший магловскую науку </w:t>
      </w:r>
      <w:del w:author="Alaric Lightin" w:id="1" w:date="2017-11-20T09:39:18Z">
        <w:r w:rsidDel="00000000" w:rsidR="00000000" w:rsidRPr="00000000">
          <w:rPr>
            <w:rFonts w:ascii="Times New Roman" w:cs="Times New Roman" w:eastAsia="Times New Roman" w:hAnsi="Times New Roman"/>
            <w:sz w:val="24"/>
            <w:szCs w:val="24"/>
            <w:rtl w:val="0"/>
          </w:rPr>
          <w:delText xml:space="preserve">в состоянии </w:delText>
        </w:r>
      </w:del>
      <w:r w:rsidDel="00000000" w:rsidR="00000000" w:rsidRPr="00000000">
        <w:rPr>
          <w:rFonts w:ascii="Times New Roman" w:cs="Times New Roman" w:eastAsia="Times New Roman" w:hAnsi="Times New Roman"/>
          <w:sz w:val="24"/>
          <w:szCs w:val="24"/>
          <w:rtl w:val="0"/>
        </w:rPr>
        <w:t xml:space="preserve">постичь смысл Слов Ложного Понимания. Судя по всему,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участь</w:t>
      </w:r>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