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h.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Надеюсь так и есть,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Но давай 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ученики,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хочешь знать, это была моя последняя попытка остаться хорошим человеком. Но ты отказал мне,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ветил Альбус Дамблдор, спокойным, холодным тоном,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тем, что теперь наконец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только,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 тебе.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отражало,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ни кто другой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Квиррелл,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ужасные потрясения и горечь.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