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с несколько озадаченным видом. </w:t>
      </w:r>
      <w:r w:rsidDel="00000000" w:rsidR="00000000" w:rsidRPr="00000000">
        <w:rPr>
          <w:rFonts w:ascii="Times New Roman" w:cs="Times New Roman" w:eastAsia="Times New Roman" w:hAnsi="Times New Roman"/>
          <w:sz w:val="24"/>
          <w:szCs w:val="24"/>
          <w:rtl w:val="0"/>
        </w:rPr>
        <w:t xml:space="preserve">В её глазах читалось удивление с некоторой примесью опаски.</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pPr>
        <w:keepNext w:val="0"/>
        <w:keepLines w:val="0"/>
        <w:widowControl w:val="0"/>
        <w:ind w:firstLine="560"/>
        <w:contextualSpacing w:val="0"/>
      </w:pPr>
      <w:r w:rsidDel="00000000" w:rsidR="00000000" w:rsidRPr="00000000">
        <w:rPr>
          <w:rtl w:val="0"/>
        </w:rPr>
      </w:r>
    </w:p>
    <w:p w:rsidR="00000000" w:rsidDel="00000000" w:rsidP="00000000" w:rsidRDefault="00000000" w:rsidRPr="00000000">
      <w:pPr>
        <w:keepNext w:val="0"/>
        <w:keepLines w:val="0"/>
        <w:widowControl w:val="0"/>
        <w:ind w:left="570" w:firstLine="0"/>
        <w:contextualSpacing w:val="0"/>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ТЮРИНГА!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Они очень интересны, хотя и ошибочны.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pPr>
        <w:keepNext w:val="0"/>
        <w:keepLines w:val="0"/>
        <w:widowControl w:val="0"/>
        <w:ind w:left="560" w:right="580" w:firstLine="560"/>
        <w:contextualSpacing w:val="0"/>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left="560" w:firstLine="10"/>
        <w:contextualSpacing w:val="0"/>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pPr>
        <w:keepNext w:val="0"/>
        <w:keepLines w:val="0"/>
        <w:widowControl w:val="0"/>
        <w:spacing w:after="0" w:before="0" w:line="276"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 Гарри Поттером что-то не так.</w:t>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