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думаете, что это лишь моё мнение, время скоро покажет, что это не так. Я не дам вам совета, кого выбрать, мои ученики. Но скажу, что если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угрожать этой стране.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придти к определённому выводу было не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