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34. Проблемы координации.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думаете, что это лишь моё мнение, время скоро покажет, что это не так. Я не дам вам совета, кого выбрать, мои ученики. Но скажу, что если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угрожать этой стране.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придти к определённому выводу было не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