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43. Человечность.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Травологии, магии зелёной, растущей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 / Трейси.docx</dc:title>
</cp:coreProperties>
</file>