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Травологии, магии зелёной, растущей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Сюзанна,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Сюзанной, уже отказавшиеся от своей попытки, крикнули остальным заткнуться.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w:t>
      </w:r>
      <w:commentRangeStart w:id="0"/>
      <w:r w:rsidRPr="00000000" w:rsidR="00000000" w:rsidDel="00000000">
        <w:rPr>
          <w:rFonts w:cs="Times New Roman" w:hAnsi="Times New Roman" w:eastAsia="Times New Roman" w:ascii="Times New Roman"/>
          <w:i w:val="1"/>
          <w:sz w:val="24"/>
          <w:rtl w:val="0"/>
        </w:rPr>
        <w:t xml:space="preserve">,</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как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2T09:25: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http://www.gramota.ru/class/coach/punct/45_183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 - комм.docx</dc:title>
</cp:coreProperties>
</file>