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5: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http://www.gramota.ru/class/coach/punct/45_183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готово.docx</dc:title>
</cp:coreProperties>
</file>