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46. Человечность. Часть 4</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commentRangeStart w:id="0"/>
      <w:r w:rsidRPr="00000000" w:rsidR="00000000" w:rsidDel="00000000">
        <w:rPr>
          <w:rFonts w:cs="Times New Roman" w:hAnsi="Times New Roman" w:eastAsia="Times New Roman" w:ascii="Times New Roman"/>
          <w:sz w:val="24"/>
          <w:rtl w:val="0"/>
        </w:rPr>
        <w:t xml:space="preserve">ты ведь не собираешься упасть от истощения и, возможно, умереть?</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сцене, последовавшей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получалось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понадобится сражаться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РОЖДЁННЫЙ НА ИСХОДЕ СЕДЬМОГО МЕСЯЦА...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от читателя с lw: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"собираешься ли ты упасть от истощения и, возможно, скончаться?"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 принципе согласен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 / Трейси + комментарий.docx</dc:title>
</cp:coreProperties>
</file>