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и если ты не можешь признать это, ты не сможешь поступать лучше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 И как знать, возможно это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 что </w:t>
      </w:r>
      <w:r w:rsidRPr="00000000" w:rsidR="00000000" w:rsidDel="00000000">
        <w:rPr>
          <w:rFonts w:cs="Times New Roman" w:hAnsi="Times New Roman" w:eastAsia="Times New Roman" w:ascii="Times New Roman"/>
          <w:i w:val="1"/>
          <w:sz w:val="24"/>
          <w:rtl w:val="0"/>
        </w:rPr>
        <w:t xml:space="preserve">даже когда 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commentRangeStart w:id="0"/>
      <w:r w:rsidRPr="00000000" w:rsidR="00000000" w:rsidDel="00000000">
        <w:rPr>
          <w:rFonts w:cs="Times New Roman" w:hAnsi="Times New Roman" w:eastAsia="Times New Roman" w:ascii="Times New Roman"/>
          <w:sz w:val="24"/>
          <w:rtl w:val="0"/>
        </w:rPr>
        <w:t xml:space="preserve">глубоки </w:t>
      </w:r>
      <w:commentRangeEnd w:id="0"/>
      <w:r w:rsidRPr="00000000" w:rsidR="00000000" w:rsidDel="00000000">
        <w:commentReference w:id="0"/>
      </w:r>
      <w:commentRangeStart w:id="1"/>
      <w:r w:rsidRPr="00000000" w:rsidR="00000000" w:rsidDel="00000000">
        <w:rPr>
          <w:rFonts w:cs="Times New Roman" w:hAnsi="Times New Roman" w:eastAsia="Times New Roman" w:ascii="Times New Roman"/>
          <w:sz w:val="24"/>
          <w:rtl w:val="0"/>
        </w:rPr>
        <w:t xml:space="preserve">вздох</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Смерти, и 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таких случаях говорят "вдох", по-моему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читатель предлагает "глубоко вдохнул", но, по-моему, "сделал глубокий вдох", чтобы собраться - это тоже довольно привычно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 / комментарий.docx</dc:title>
</cp:coreProperties>
</file>