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(Будь готов! Это марш Скаутов...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готов, когда по жизни ты идёшь...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проверкой,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 же слышать изнутри всё, что происходит снаружи.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четвертый.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Мантию невидимости,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отрицать...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готовы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лгать.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ins w:author="Yuliy L" w:id="0" w:date="2016-02-22T18:24:3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верящего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6-02-22T18:2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