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Патронуса,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Неизвестная смерти, неизвестная жизни.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Нерушимая Клятва слишком полезна определённым богатым Домам, чтобы быть объявленной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Нерушимая Клятва требует трёх участников и три жертвы. Тот, кто получает Нерушимую Клятву, мог бы поверить Клянущемуся, но вместо этого решает потребовать у него Клятву, и потому он жертвует саму возможность поверить. Тот, кто даёт Клятву, решает делать то, что от него требует Клятва,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Клятву вечно.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Нерушимых Клятв,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готово- перезалить.docx</dc:title>
</cp:coreProperties>
</file>