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left="-30" w:firstLine="0"/>
        <w:contextualSpacing w:val="0"/>
        <w:jc w:val="center"/>
      </w:pPr>
      <w:bookmarkStart w:colFirst="0" w:colLast="0" w:name="h.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поймешь...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Девчонка не принадлежит Дому Поттеров...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</w:t>
      </w:r>
      <w:ins w:author="Alaric Lightin" w:id="0" w:date="2015-10-31T05:40:4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самой смерти</w:t>
        </w:r>
      </w:ins>
      <w:del w:author="Alaric Lightin" w:id="0" w:date="2015-10-31T05:40:4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конца моих дней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подлое ничтожество.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ins w:author="Alaric Lightin" w:id="1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тёмного</w:t>
        </w:r>
      </w:ins>
      <w:del w:author="Alaric Lightin" w:id="1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чёрного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убийцей,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действительно было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чей тенью ты являешься, перестанет существовать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пугаю.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10-31T05:40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согласовать со 122-й главой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