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88" w:lineRule="auto"/>
        <w:ind w:left="-15"/>
        <w:contextualSpacing w:val="0"/>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