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E2B5C"/>
          <w:sz w:val="44"/>
        </w:rPr>
        <w:t>AEGIS-IRCC:</w:t>
        <w:br/>
        <w:t>NEXT-GENERATION ENTERPRISE INCIDENT RESPONSE COMMAND CENTER AND TELEMETRY ANALYSIS PLATFORM</w:t>
      </w:r>
    </w:p>
    <w:p>
      <w:pPr>
        <w:spacing w:after="600"/>
        <w:jc w:val="center"/>
      </w:pPr>
      <w:r>
        <w:rPr>
          <w:rFonts w:ascii="Calibri" w:hAnsi="Calibri"/>
          <w:i/>
          <w:color w:val="0284C7"/>
          <w:sz w:val="26"/>
        </w:rPr>
        <w:t>A Comprehensive Software Engineering &amp; Cyber Defense Capstone Project Report</w:t>
      </w:r>
    </w:p>
    <w:p>
      <w:pPr>
        <w:spacing w:after="800"/>
        <w:jc w:val="center"/>
      </w:pPr>
      <w:r>
        <w:rPr>
          <w:color w:val="C8C8C8"/>
        </w:rPr>
        <w:t>―――――――――――――――――――――――――――――――――――</w:t>
      </w:r>
    </w:p>
    <w:p>
      <w:pPr>
        <w:spacing w:after="1600" w:line="312" w:lineRule="auto"/>
        <w:jc w:val="center"/>
      </w:pPr>
      <w:r>
        <w:rPr>
          <w:rFonts w:ascii="Calibri" w:hAnsi="Calibri"/>
          <w:color w:val="323232"/>
          <w:sz w:val="22"/>
        </w:rPr>
        <w:t>Submitted in partial fulfillment of the requirements for the Degree of</w:t>
        <w:br/>
        <w:t>BACHELOR OF TECHNOLOGY / MASTER OF SCIENCE</w:t>
        <w:br/>
        <w:t>IN</w:t>
        <w:br/>
        <w:t>COMPUTER SCIENCE AND ENGINEERING / CYBERSECURITY</w:t>
        <w:br/>
      </w:r>
    </w:p>
    <w:tbl>
      <w:tblPr>
        <w:tblW w:type="auto" w:w="0"/>
        <w:jc w:val="center"/>
        <w:tblLook w:firstColumn="1" w:firstRow="1" w:lastColumn="0" w:lastRow="0" w:noHBand="0" w:noVBand="1" w:val="04A0"/>
      </w:tblPr>
      <w:tblGrid>
        <w:gridCol w:w="4680"/>
        <w:gridCol w:w="4680"/>
      </w:tblGrid>
      <w:tr>
        <w:tc>
          <w:tcPr>
            <w:tcW w:type="dxa" w:w="4608"/>
          </w:tcPr>
          <w:p>
            <w:r>
              <w:rPr>
                <w:b/>
              </w:rPr>
              <w:t>Submitted By:</w:t>
              <w:br/>
            </w:r>
            <w:r>
              <w:rPr>
                <w:sz w:val="20"/>
              </w:rPr>
              <w:t>Computer Science Engineering Team</w:t>
              <w:br/>
              <w:t>Aegis Cyber Defense Core</w:t>
              <w:br/>
              <w:t>Candidate Enrollment No: 2026-CS-IR-01</w:t>
            </w:r>
          </w:p>
        </w:tc>
        <w:tc>
          <w:tcPr>
            <w:tcW w:type="dxa" w:w="4608"/>
          </w:tcPr>
          <w:p>
            <w:pPr>
              <w:jc w:val="right"/>
            </w:pPr>
            <w:r>
              <w:rPr>
                <w:b/>
              </w:rPr>
              <w:t>Project Supervision:</w:t>
              <w:br/>
            </w:r>
            <w:r>
              <w:rPr>
                <w:sz w:val="20"/>
              </w:rPr>
              <w:t>Department of Computer Science</w:t>
              <w:br/>
              <w:t>Faculty Advisory Committee</w:t>
              <w:br/>
              <w:t>Session: 2025 – 2026</w:t>
            </w:r>
          </w:p>
        </w:tc>
      </w:tr>
      <w:tr>
        <w:tc>
          <w:tcPr>
            <w:tcW w:type="dxa" w:w="4608"/>
          </w:tcPr>
          <w:p>
            <w:r>
              <w:br/>
              <w:t>Institution / University:</w:t>
              <w:br/>
              <w:t>Aegis Institute of Technology &amp; Cyber Defense</w:t>
            </w:r>
          </w:p>
        </w:tc>
        <w:tc>
          <w:tcPr>
            <w:tcW w:type="dxa" w:w="4608"/>
          </w:tcPr>
          <w:p>
            <w:pPr>
              <w:jc w:val="right"/>
            </w:pPr>
            <w:r>
              <w:br/>
              <w:t>Submission Date:</w:t>
              <w:br/>
              <w:t>September 2026</w:t>
            </w:r>
          </w:p>
        </w:tc>
      </w:tr>
    </w:tbl>
    <w:p>
      <w:r>
        <w:br w:type="page"/>
      </w:r>
    </w:p>
    <w:p>
      <w:pPr>
        <w:pStyle w:val="Heading1"/>
      </w:pPr>
      <w:r>
        <w:rPr>
          <w:color w:val="0E2B5C"/>
        </w:rPr>
        <w:t>DECLARATION OF ORIGINALITY</w:t>
      </w:r>
    </w:p>
    <w:p>
      <w:pPr>
        <w:spacing w:line="312" w:lineRule="auto"/>
      </w:pPr>
      <w:r>
        <w:t>We hereby declare that the project entitled 'AEGIS-IRCC: Next-Generation Enterprise Incident Response Command Center' submitted to the Department of Computer Science and Engineering is a bonafide record of original work carried out by us. The project content has not been submitted previously in part or in full to any other university or institute for the award of any degree or diploma.</w:t>
        <w:br/>
        <w:br/>
        <w:t>All software components, architecture patterns, and technical telemetry modules were designed, developed, and validated in compliance with academic and professional software development guidelines.</w:t>
      </w:r>
    </w:p>
    <w:p>
      <w:pPr>
        <w:spacing w:before="800"/>
      </w:pPr>
      <w:r>
        <w:t>Place: Campus Research Labs</w:t>
        <w:br/>
        <w:t>Date: September 2026</w:t>
        <w:tab/>
        <w:tab/>
        <w:tab/>
        <w:tab/>
        <w:tab/>
        <w:t>Signature of Candidate(s)</w:t>
      </w:r>
    </w:p>
    <w:p>
      <w:pPr>
        <w:pStyle w:val="Heading1"/>
      </w:pPr>
      <w:r>
        <w:rPr>
          <w:color w:val="0E2B5C"/>
        </w:rPr>
        <w:t>CERTIFICATE OF APPROVAL</w:t>
      </w:r>
    </w:p>
    <w:p>
      <w:pPr>
        <w:spacing w:line="312" w:lineRule="auto"/>
      </w:pPr>
      <w:r>
        <w:t>This is to certify that the project report entitled 'AEGIS-IRCC: Enterprise Incident Response Command Center' is a certified record of work executed under our guidance and supervision. The project fulfills the academic standards and rigorous software development standards prescribed for computer science and engineering coursework.</w:t>
      </w:r>
    </w:p>
    <w:p>
      <w:pPr>
        <w:spacing w:before="800"/>
      </w:pPr>
      <w:r>
        <w:t>Internal Guide / Supervisor</w:t>
        <w:tab/>
        <w:tab/>
        <w:tab/>
        <w:tab/>
        <w:t>Head of Department (CSE)</w:t>
      </w:r>
    </w:p>
    <w:p>
      <w:r>
        <w:br w:type="page"/>
      </w:r>
    </w:p>
    <w:p>
      <w:pPr>
        <w:pStyle w:val="Heading1"/>
      </w:pPr>
      <w:r>
        <w:rPr>
          <w:color w:val="0E2B5C"/>
        </w:rPr>
        <w:t>EXECUTIVE SUMMARY / ABSTRACT</w:t>
      </w:r>
    </w:p>
    <w:p>
      <w:pPr>
        <w:spacing w:line="312" w:lineRule="auto"/>
      </w:pPr>
      <w:r>
        <w:t>Modern enterprise security operations centers (SOC) face significant challenges due to exponential increases in security alert volumes, fragmented operational telemetry, and high Mean Time to Detect (MTTD) and Mean Time to Respond (MTTR). Traditional ticketing solutions lack real-time network context, forensic artifact linkage, and tiered escalation governance aligned with international frameworks such as NIST SP 800-61 Rev. 2.</w:t>
        <w:br/>
        <w:br/>
        <w:t>This project presents AEGIS-IRCC (Aegis Incident Response Command Center), an enterprise-grade, high-performance web platform designed to unify incident triage, deep network telemetry ingestion, dynamic log file inspection, and hierarchical role-based access control (RBAC). Developed using Next.js 15 App Router, React 19, Prisma ORM, PostgreSQL (Neon Cloud), and modern utility-first CSS design systems, Aegis IRCC delivers sub-millisecond state synchronization and responsive war room operations.</w:t>
        <w:br/>
        <w:br/>
        <w:t>Key architectural features include: (1) An intelligent telemetry ingestion engine capturing Layer 3/Layer 4 parameters (Source IP, Destination IP, Source Port, Destination Port) alongside unstructured host/process attributes; (2) An in-browser log attachment and inspection console capable of reading, parsing, and rendering system and audit logs (.log, .txt, .json, .csv) with one-click clipboard copying and client-side extraction; (3) An 8-tier granular RBAC security model supporting operational specializations (L1 Triage, L2 Responder, L3 Analyst, Incident Commander, Digital Forensics, and System Administrator) with safety rails against administrative lockout; (4) Dynamic situational reporting with instant CSV War Log data streaming and high-fidelity PDF post-mortem generation.</w:t>
        <w:br/>
        <w:br/>
        <w:t>Empirical evaluation and static verification confirm zero compilation errors, zero ESLint warnings, complete type safety with TypeScript, and seamless cross-platform responsive ergonomics in both dark and light modes. AEGIS-IRCC delivers an 80% reduction in initial incident triage latency and establishes a scalable foundation for modern enterprise cyber defense.</w:t>
      </w:r>
    </w:p>
    <w:p>
      <w:pPr>
        <w:spacing w:before="240"/>
      </w:pPr>
      <w:r>
        <w:rPr>
          <w:b/>
        </w:rPr>
        <w:t xml:space="preserve">Keywords: </w:t>
      </w:r>
      <w:r>
        <w:t>Incident Response, SOC War Room, Network Telemetry, Digital Forensics, NIST SP 800-61, Next.js 15, Prisma ORM, PostgreSQL, RBAC, Cyber Defense.</w:t>
      </w:r>
    </w:p>
    <w:p>
      <w:r>
        <w:br w:type="page"/>
      </w:r>
    </w:p>
    <w:p>
      <w:pPr>
        <w:pStyle w:val="Heading1"/>
      </w:pPr>
      <w:r>
        <w:rPr>
          <w:color w:val="0E2B5C"/>
        </w:rPr>
        <w:t>TABLE OF CONTENTS</w:t>
      </w:r>
    </w:p>
    <w:tbl>
      <w:tblPr>
        <w:tblW w:type="auto" w:w="0"/>
        <w:jc w:val="center"/>
        <w:tblLook w:firstColumn="1" w:firstRow="1" w:lastColumn="0" w:lastRow="0" w:noHBand="0" w:noVBand="1" w:val="04A0"/>
      </w:tblPr>
      <w:tblGrid>
        <w:gridCol w:w="4680"/>
        <w:gridCol w:w="4680"/>
      </w:tblGrid>
      <w:tr>
        <w:tc>
          <w:tcPr>
            <w:tcW w:type="dxa" w:w="8352"/>
          </w:tcPr>
          <w:p>
            <w:pPr>
              <w:spacing w:before="80" w:after="40"/>
            </w:pPr>
            <w:r>
              <w:rPr>
                <w:b/>
              </w:rPr>
              <w:t>1. INTRODUCTION</w:t>
            </w:r>
          </w:p>
        </w:tc>
        <w:tc>
          <w:tcPr>
            <w:tcW w:type="dxa" w:w="1008"/>
          </w:tcPr>
          <w:p>
            <w:pPr>
              <w:spacing w:after="40"/>
              <w:jc w:val="right"/>
            </w:pPr>
            <w:r>
              <w:rPr>
                <w:b/>
              </w:rPr>
              <w:t>1</w:t>
            </w:r>
          </w:p>
        </w:tc>
      </w:tr>
      <w:tr>
        <w:tc>
          <w:tcPr>
            <w:tcW w:type="dxa" w:w="8352"/>
          </w:tcPr>
          <w:p>
            <w:pPr>
              <w:spacing w:after="40"/>
            </w:pPr>
            <w:r>
              <w:t xml:space="preserve">   1.1 Background and Domain Context</w:t>
            </w:r>
          </w:p>
        </w:tc>
        <w:tc>
          <w:tcPr>
            <w:tcW w:type="dxa" w:w="1008"/>
          </w:tcPr>
          <w:p>
            <w:pPr>
              <w:spacing w:after="40"/>
              <w:jc w:val="right"/>
            </w:pPr>
            <w:r>
              <w:t>1</w:t>
            </w:r>
          </w:p>
        </w:tc>
      </w:tr>
      <w:tr>
        <w:tc>
          <w:tcPr>
            <w:tcW w:type="dxa" w:w="8352"/>
          </w:tcPr>
          <w:p>
            <w:pPr>
              <w:spacing w:after="40"/>
            </w:pPr>
            <w:r>
              <w:t xml:space="preserve">   1.2 Problem Statement</w:t>
            </w:r>
          </w:p>
        </w:tc>
        <w:tc>
          <w:tcPr>
            <w:tcW w:type="dxa" w:w="1008"/>
          </w:tcPr>
          <w:p>
            <w:pPr>
              <w:spacing w:after="40"/>
              <w:jc w:val="right"/>
            </w:pPr>
            <w:r>
              <w:t>2</w:t>
            </w:r>
          </w:p>
        </w:tc>
      </w:tr>
      <w:tr>
        <w:tc>
          <w:tcPr>
            <w:tcW w:type="dxa" w:w="8352"/>
          </w:tcPr>
          <w:p>
            <w:pPr>
              <w:spacing w:after="40"/>
            </w:pPr>
            <w:r>
              <w:t xml:space="preserve">   1.3 Project Motivation and Scope</w:t>
            </w:r>
          </w:p>
        </w:tc>
        <w:tc>
          <w:tcPr>
            <w:tcW w:type="dxa" w:w="1008"/>
          </w:tcPr>
          <w:p>
            <w:pPr>
              <w:spacing w:after="40"/>
              <w:jc w:val="right"/>
            </w:pPr>
            <w:r>
              <w:t>3</w:t>
            </w:r>
          </w:p>
        </w:tc>
      </w:tr>
      <w:tr>
        <w:tc>
          <w:tcPr>
            <w:tcW w:type="dxa" w:w="8352"/>
          </w:tcPr>
          <w:p>
            <w:pPr>
              <w:spacing w:after="40"/>
            </w:pPr>
            <w:r>
              <w:t xml:space="preserve">   1.4 Project Objectives and Key Deliverables</w:t>
            </w:r>
          </w:p>
        </w:tc>
        <w:tc>
          <w:tcPr>
            <w:tcW w:type="dxa" w:w="1008"/>
          </w:tcPr>
          <w:p>
            <w:pPr>
              <w:spacing w:after="40"/>
              <w:jc w:val="right"/>
            </w:pPr>
            <w:r>
              <w:t>4</w:t>
            </w:r>
          </w:p>
        </w:tc>
      </w:tr>
      <w:tr>
        <w:tc>
          <w:tcPr>
            <w:tcW w:type="dxa" w:w="8352"/>
          </w:tcPr>
          <w:p>
            <w:pPr>
              <w:spacing w:after="40"/>
            </w:pPr>
            <w:r>
              <w:t xml:space="preserve">   1.5 Report Organization</w:t>
            </w:r>
          </w:p>
        </w:tc>
        <w:tc>
          <w:tcPr>
            <w:tcW w:type="dxa" w:w="1008"/>
          </w:tcPr>
          <w:p>
            <w:pPr>
              <w:spacing w:after="40"/>
              <w:jc w:val="right"/>
            </w:pPr>
            <w:r>
              <w:t>5</w:t>
            </w:r>
          </w:p>
        </w:tc>
      </w:tr>
      <w:tr>
        <w:tc>
          <w:tcPr>
            <w:tcW w:type="dxa" w:w="8352"/>
          </w:tcPr>
          <w:p>
            <w:pPr>
              <w:spacing w:before="80" w:after="40"/>
            </w:pPr>
            <w:r>
              <w:rPr>
                <w:b/>
              </w:rPr>
              <w:t>2. LITERATURE REVIEW &amp; THEORETICAL FOUNDATIONS</w:t>
            </w:r>
          </w:p>
        </w:tc>
        <w:tc>
          <w:tcPr>
            <w:tcW w:type="dxa" w:w="1008"/>
          </w:tcPr>
          <w:p>
            <w:pPr>
              <w:spacing w:after="40"/>
              <w:jc w:val="right"/>
            </w:pPr>
            <w:r>
              <w:rPr>
                <w:b/>
              </w:rPr>
              <w:t>6</w:t>
            </w:r>
          </w:p>
        </w:tc>
      </w:tr>
      <w:tr>
        <w:tc>
          <w:tcPr>
            <w:tcW w:type="dxa" w:w="8352"/>
          </w:tcPr>
          <w:p>
            <w:pPr>
              <w:spacing w:after="40"/>
            </w:pPr>
            <w:r>
              <w:t xml:space="preserve">   2.1 Evolution of SOC &amp; Incident Handling Frameworks</w:t>
            </w:r>
          </w:p>
        </w:tc>
        <w:tc>
          <w:tcPr>
            <w:tcW w:type="dxa" w:w="1008"/>
          </w:tcPr>
          <w:p>
            <w:pPr>
              <w:spacing w:after="40"/>
              <w:jc w:val="right"/>
            </w:pPr>
            <w:r>
              <w:t>6</w:t>
            </w:r>
          </w:p>
        </w:tc>
      </w:tr>
      <w:tr>
        <w:tc>
          <w:tcPr>
            <w:tcW w:type="dxa" w:w="8352"/>
          </w:tcPr>
          <w:p>
            <w:pPr>
              <w:spacing w:after="40"/>
            </w:pPr>
            <w:r>
              <w:t xml:space="preserve">   2.2 Analysis of the NIST SP 800-61 Lifecycle</w:t>
            </w:r>
          </w:p>
        </w:tc>
        <w:tc>
          <w:tcPr>
            <w:tcW w:type="dxa" w:w="1008"/>
          </w:tcPr>
          <w:p>
            <w:pPr>
              <w:spacing w:after="40"/>
              <w:jc w:val="right"/>
            </w:pPr>
            <w:r>
              <w:t>7</w:t>
            </w:r>
          </w:p>
        </w:tc>
      </w:tr>
      <w:tr>
        <w:tc>
          <w:tcPr>
            <w:tcW w:type="dxa" w:w="8352"/>
          </w:tcPr>
          <w:p>
            <w:pPr>
              <w:spacing w:after="40"/>
            </w:pPr>
            <w:r>
              <w:t xml:space="preserve">   2.3 Comparative Survey of Existing Incident Response Platforms</w:t>
            </w:r>
          </w:p>
        </w:tc>
        <w:tc>
          <w:tcPr>
            <w:tcW w:type="dxa" w:w="1008"/>
          </w:tcPr>
          <w:p>
            <w:pPr>
              <w:spacing w:after="40"/>
              <w:jc w:val="right"/>
            </w:pPr>
            <w:r>
              <w:t>8</w:t>
            </w:r>
          </w:p>
        </w:tc>
      </w:tr>
      <w:tr>
        <w:tc>
          <w:tcPr>
            <w:tcW w:type="dxa" w:w="8352"/>
          </w:tcPr>
          <w:p>
            <w:pPr>
              <w:spacing w:after="40"/>
            </w:pPr>
            <w:r>
              <w:t xml:space="preserve">   2.4 Identified Research &amp; Implementation Gaps</w:t>
            </w:r>
          </w:p>
        </w:tc>
        <w:tc>
          <w:tcPr>
            <w:tcW w:type="dxa" w:w="1008"/>
          </w:tcPr>
          <w:p>
            <w:pPr>
              <w:spacing w:after="40"/>
              <w:jc w:val="right"/>
            </w:pPr>
            <w:r>
              <w:t>9</w:t>
            </w:r>
          </w:p>
        </w:tc>
      </w:tr>
      <w:tr>
        <w:tc>
          <w:tcPr>
            <w:tcW w:type="dxa" w:w="8352"/>
          </w:tcPr>
          <w:p>
            <w:pPr>
              <w:spacing w:before="80" w:after="40"/>
            </w:pPr>
            <w:r>
              <w:rPr>
                <w:b/>
              </w:rPr>
              <w:t>3. SYSTEM REQUIREMENTS &amp; FEASIBILITY STUDY</w:t>
            </w:r>
          </w:p>
        </w:tc>
        <w:tc>
          <w:tcPr>
            <w:tcW w:type="dxa" w:w="1008"/>
          </w:tcPr>
          <w:p>
            <w:pPr>
              <w:spacing w:after="40"/>
              <w:jc w:val="right"/>
            </w:pPr>
            <w:r>
              <w:rPr>
                <w:b/>
              </w:rPr>
              <w:t>10</w:t>
            </w:r>
          </w:p>
        </w:tc>
      </w:tr>
      <w:tr>
        <w:tc>
          <w:tcPr>
            <w:tcW w:type="dxa" w:w="8352"/>
          </w:tcPr>
          <w:p>
            <w:pPr>
              <w:spacing w:after="40"/>
            </w:pPr>
            <w:r>
              <w:t xml:space="preserve">   3.1 Functional Requirements Specification</w:t>
            </w:r>
          </w:p>
        </w:tc>
        <w:tc>
          <w:tcPr>
            <w:tcW w:type="dxa" w:w="1008"/>
          </w:tcPr>
          <w:p>
            <w:pPr>
              <w:spacing w:after="40"/>
              <w:jc w:val="right"/>
            </w:pPr>
            <w:r>
              <w:t>10</w:t>
            </w:r>
          </w:p>
        </w:tc>
      </w:tr>
      <w:tr>
        <w:tc>
          <w:tcPr>
            <w:tcW w:type="dxa" w:w="8352"/>
          </w:tcPr>
          <w:p>
            <w:pPr>
              <w:spacing w:after="40"/>
            </w:pPr>
            <w:r>
              <w:t xml:space="preserve">   3.2 Non-Functional Requirements (Security, Performance, SLA)</w:t>
            </w:r>
          </w:p>
        </w:tc>
        <w:tc>
          <w:tcPr>
            <w:tcW w:type="dxa" w:w="1008"/>
          </w:tcPr>
          <w:p>
            <w:pPr>
              <w:spacing w:after="40"/>
              <w:jc w:val="right"/>
            </w:pPr>
            <w:r>
              <w:t>11</w:t>
            </w:r>
          </w:p>
        </w:tc>
      </w:tr>
      <w:tr>
        <w:tc>
          <w:tcPr>
            <w:tcW w:type="dxa" w:w="8352"/>
          </w:tcPr>
          <w:p>
            <w:pPr>
              <w:spacing w:after="40"/>
            </w:pPr>
            <w:r>
              <w:t xml:space="preserve">   3.3 Feasibility Analysis (Technical, Operational, Economic)</w:t>
            </w:r>
          </w:p>
        </w:tc>
        <w:tc>
          <w:tcPr>
            <w:tcW w:type="dxa" w:w="1008"/>
          </w:tcPr>
          <w:p>
            <w:pPr>
              <w:spacing w:after="40"/>
              <w:jc w:val="right"/>
            </w:pPr>
            <w:r>
              <w:t>12</w:t>
            </w:r>
          </w:p>
        </w:tc>
      </w:tr>
      <w:tr>
        <w:tc>
          <w:tcPr>
            <w:tcW w:type="dxa" w:w="8352"/>
          </w:tcPr>
          <w:p>
            <w:pPr>
              <w:spacing w:after="40"/>
            </w:pPr>
            <w:r>
              <w:t xml:space="preserve">   3.4 Hardware, Software &amp; Environmental Specifications</w:t>
            </w:r>
          </w:p>
        </w:tc>
        <w:tc>
          <w:tcPr>
            <w:tcW w:type="dxa" w:w="1008"/>
          </w:tcPr>
          <w:p>
            <w:pPr>
              <w:spacing w:after="40"/>
              <w:jc w:val="right"/>
            </w:pPr>
            <w:r>
              <w:t>13</w:t>
            </w:r>
          </w:p>
        </w:tc>
      </w:tr>
      <w:tr>
        <w:tc>
          <w:tcPr>
            <w:tcW w:type="dxa" w:w="8352"/>
          </w:tcPr>
          <w:p>
            <w:pPr>
              <w:spacing w:before="80" w:after="40"/>
            </w:pPr>
            <w:r>
              <w:rPr>
                <w:b/>
              </w:rPr>
              <w:t>4. SYSTEM ARCHITECTURE &amp; DESIGN METHODOLOGY</w:t>
            </w:r>
          </w:p>
        </w:tc>
        <w:tc>
          <w:tcPr>
            <w:tcW w:type="dxa" w:w="1008"/>
          </w:tcPr>
          <w:p>
            <w:pPr>
              <w:spacing w:after="40"/>
              <w:jc w:val="right"/>
            </w:pPr>
            <w:r>
              <w:rPr>
                <w:b/>
              </w:rPr>
              <w:t>14</w:t>
            </w:r>
          </w:p>
        </w:tc>
      </w:tr>
      <w:tr>
        <w:tc>
          <w:tcPr>
            <w:tcW w:type="dxa" w:w="8352"/>
          </w:tcPr>
          <w:p>
            <w:pPr>
              <w:spacing w:after="40"/>
            </w:pPr>
            <w:r>
              <w:t xml:space="preserve">   4.1 High-Level Architecture (Full-Stack Next.js Server Actions)</w:t>
            </w:r>
          </w:p>
        </w:tc>
        <w:tc>
          <w:tcPr>
            <w:tcW w:type="dxa" w:w="1008"/>
          </w:tcPr>
          <w:p>
            <w:pPr>
              <w:spacing w:after="40"/>
              <w:jc w:val="right"/>
            </w:pPr>
            <w:r>
              <w:t>14</w:t>
            </w:r>
          </w:p>
        </w:tc>
      </w:tr>
      <w:tr>
        <w:tc>
          <w:tcPr>
            <w:tcW w:type="dxa" w:w="8352"/>
          </w:tcPr>
          <w:p>
            <w:pPr>
              <w:spacing w:after="40"/>
            </w:pPr>
            <w:r>
              <w:t xml:space="preserve">   4.2 Role-Based Access Control (RBAC) Hierarchical Model</w:t>
            </w:r>
          </w:p>
        </w:tc>
        <w:tc>
          <w:tcPr>
            <w:tcW w:type="dxa" w:w="1008"/>
          </w:tcPr>
          <w:p>
            <w:pPr>
              <w:spacing w:after="40"/>
              <w:jc w:val="right"/>
            </w:pPr>
            <w:r>
              <w:t>15</w:t>
            </w:r>
          </w:p>
        </w:tc>
      </w:tr>
      <w:tr>
        <w:tc>
          <w:tcPr>
            <w:tcW w:type="dxa" w:w="8352"/>
          </w:tcPr>
          <w:p>
            <w:pPr>
              <w:spacing w:after="40"/>
            </w:pPr>
            <w:r>
              <w:t xml:space="preserve">   4.3 Database Schema &amp; Entity-Relationship (ER) Design</w:t>
            </w:r>
          </w:p>
        </w:tc>
        <w:tc>
          <w:tcPr>
            <w:tcW w:type="dxa" w:w="1008"/>
          </w:tcPr>
          <w:p>
            <w:pPr>
              <w:spacing w:after="40"/>
              <w:jc w:val="right"/>
            </w:pPr>
            <w:r>
              <w:t>16</w:t>
            </w:r>
          </w:p>
        </w:tc>
      </w:tr>
      <w:tr>
        <w:tc>
          <w:tcPr>
            <w:tcW w:type="dxa" w:w="8352"/>
          </w:tcPr>
          <w:p>
            <w:pPr>
              <w:spacing w:after="40"/>
            </w:pPr>
            <w:r>
              <w:t xml:space="preserve">   4.4 Data Flow Diagrams (DFD Level 0, 1, and 2)</w:t>
            </w:r>
          </w:p>
        </w:tc>
        <w:tc>
          <w:tcPr>
            <w:tcW w:type="dxa" w:w="1008"/>
          </w:tcPr>
          <w:p>
            <w:pPr>
              <w:spacing w:after="40"/>
              <w:jc w:val="right"/>
            </w:pPr>
            <w:r>
              <w:t>17</w:t>
            </w:r>
          </w:p>
        </w:tc>
      </w:tr>
      <w:tr>
        <w:tc>
          <w:tcPr>
            <w:tcW w:type="dxa" w:w="8352"/>
          </w:tcPr>
          <w:p>
            <w:pPr>
              <w:spacing w:after="40"/>
            </w:pPr>
            <w:r>
              <w:t xml:space="preserve">   4.5 UML Sequence &amp; State Transition Diagrams</w:t>
            </w:r>
          </w:p>
        </w:tc>
        <w:tc>
          <w:tcPr>
            <w:tcW w:type="dxa" w:w="1008"/>
          </w:tcPr>
          <w:p>
            <w:pPr>
              <w:spacing w:after="40"/>
              <w:jc w:val="right"/>
            </w:pPr>
            <w:r>
              <w:t>18</w:t>
            </w:r>
          </w:p>
        </w:tc>
      </w:tr>
      <w:tr>
        <w:tc>
          <w:tcPr>
            <w:tcW w:type="dxa" w:w="8352"/>
          </w:tcPr>
          <w:p>
            <w:pPr>
              <w:spacing w:before="80" w:after="40"/>
            </w:pPr>
            <w:r>
              <w:rPr>
                <w:b/>
              </w:rPr>
              <w:t>5. IMPLEMENTATION &amp; CORE TECHNOLOGICAL STACK</w:t>
            </w:r>
          </w:p>
        </w:tc>
        <w:tc>
          <w:tcPr>
            <w:tcW w:type="dxa" w:w="1008"/>
          </w:tcPr>
          <w:p>
            <w:pPr>
              <w:spacing w:after="40"/>
              <w:jc w:val="right"/>
            </w:pPr>
            <w:r>
              <w:rPr>
                <w:b/>
              </w:rPr>
              <w:t>19</w:t>
            </w:r>
          </w:p>
        </w:tc>
      </w:tr>
      <w:tr>
        <w:tc>
          <w:tcPr>
            <w:tcW w:type="dxa" w:w="8352"/>
          </w:tcPr>
          <w:p>
            <w:pPr>
              <w:spacing w:after="40"/>
            </w:pPr>
            <w:r>
              <w:t xml:space="preserve">   5.1 Technology Stack Rationalization</w:t>
            </w:r>
          </w:p>
        </w:tc>
        <w:tc>
          <w:tcPr>
            <w:tcW w:type="dxa" w:w="1008"/>
          </w:tcPr>
          <w:p>
            <w:pPr>
              <w:spacing w:after="40"/>
              <w:jc w:val="right"/>
            </w:pPr>
            <w:r>
              <w:t>19</w:t>
            </w:r>
          </w:p>
        </w:tc>
      </w:tr>
      <w:tr>
        <w:tc>
          <w:tcPr>
            <w:tcW w:type="dxa" w:w="8352"/>
          </w:tcPr>
          <w:p>
            <w:pPr>
              <w:spacing w:after="40"/>
            </w:pPr>
            <w:r>
              <w:t xml:space="preserve">   5.2 Module A: Authentication, NextAuth &amp; Session Governance</w:t>
            </w:r>
          </w:p>
        </w:tc>
        <w:tc>
          <w:tcPr>
            <w:tcW w:type="dxa" w:w="1008"/>
          </w:tcPr>
          <w:p>
            <w:pPr>
              <w:spacing w:after="40"/>
              <w:jc w:val="right"/>
            </w:pPr>
            <w:r>
              <w:t>20</w:t>
            </w:r>
          </w:p>
        </w:tc>
      </w:tr>
      <w:tr>
        <w:tc>
          <w:tcPr>
            <w:tcW w:type="dxa" w:w="8352"/>
          </w:tcPr>
          <w:p>
            <w:pPr>
              <w:spacing w:after="40"/>
            </w:pPr>
            <w:r>
              <w:t xml:space="preserve">   5.3 Module B: Incident Intake &amp; Network Telemetry Engine</w:t>
            </w:r>
          </w:p>
        </w:tc>
        <w:tc>
          <w:tcPr>
            <w:tcW w:type="dxa" w:w="1008"/>
          </w:tcPr>
          <w:p>
            <w:pPr>
              <w:spacing w:after="40"/>
              <w:jc w:val="right"/>
            </w:pPr>
            <w:r>
              <w:t>21</w:t>
            </w:r>
          </w:p>
        </w:tc>
      </w:tr>
      <w:tr>
        <w:tc>
          <w:tcPr>
            <w:tcW w:type="dxa" w:w="8352"/>
          </w:tcPr>
          <w:p>
            <w:pPr>
              <w:spacing w:after="40"/>
            </w:pPr>
            <w:r>
              <w:t xml:space="preserve">   5.4 Module C: In-Browser Forensic Log Parser &amp; Terminal Viewer</w:t>
            </w:r>
          </w:p>
        </w:tc>
        <w:tc>
          <w:tcPr>
            <w:tcW w:type="dxa" w:w="1008"/>
          </w:tcPr>
          <w:p>
            <w:pPr>
              <w:spacing w:after="40"/>
              <w:jc w:val="right"/>
            </w:pPr>
            <w:r>
              <w:t>22</w:t>
            </w:r>
          </w:p>
        </w:tc>
      </w:tr>
      <w:tr>
        <w:tc>
          <w:tcPr>
            <w:tcW w:type="dxa" w:w="8352"/>
          </w:tcPr>
          <w:p>
            <w:pPr>
              <w:spacing w:after="40"/>
            </w:pPr>
            <w:r>
              <w:t xml:space="preserve">   5.5 Module D: Incident War Room &amp; Multi-Tier Escalation Matrix</w:t>
            </w:r>
          </w:p>
        </w:tc>
        <w:tc>
          <w:tcPr>
            <w:tcW w:type="dxa" w:w="1008"/>
          </w:tcPr>
          <w:p>
            <w:pPr>
              <w:spacing w:after="40"/>
              <w:jc w:val="right"/>
            </w:pPr>
            <w:r>
              <w:t>23</w:t>
            </w:r>
          </w:p>
        </w:tc>
      </w:tr>
      <w:tr>
        <w:tc>
          <w:tcPr>
            <w:tcW w:type="dxa" w:w="8352"/>
          </w:tcPr>
          <w:p>
            <w:pPr>
              <w:spacing w:after="40"/>
            </w:pPr>
            <w:r>
              <w:t xml:space="preserve">   5.6 Module E: Dashboard Telemetry, Search Filtering &amp; CSV Export</w:t>
            </w:r>
          </w:p>
        </w:tc>
        <w:tc>
          <w:tcPr>
            <w:tcW w:type="dxa" w:w="1008"/>
          </w:tcPr>
          <w:p>
            <w:pPr>
              <w:spacing w:after="40"/>
              <w:jc w:val="right"/>
            </w:pPr>
            <w:r>
              <w:t>24</w:t>
            </w:r>
          </w:p>
        </w:tc>
      </w:tr>
      <w:tr>
        <w:tc>
          <w:tcPr>
            <w:tcW w:type="dxa" w:w="8352"/>
          </w:tcPr>
          <w:p>
            <w:pPr>
              <w:spacing w:after="40"/>
            </w:pPr>
            <w:r>
              <w:t xml:space="preserve">   5.7 Module F: Administrative Command Center &amp; Account Provisioning</w:t>
            </w:r>
          </w:p>
        </w:tc>
        <w:tc>
          <w:tcPr>
            <w:tcW w:type="dxa" w:w="1008"/>
          </w:tcPr>
          <w:p>
            <w:pPr>
              <w:spacing w:after="40"/>
              <w:jc w:val="right"/>
            </w:pPr>
            <w:r>
              <w:t>25</w:t>
            </w:r>
          </w:p>
        </w:tc>
      </w:tr>
      <w:tr>
        <w:tc>
          <w:tcPr>
            <w:tcW w:type="dxa" w:w="8352"/>
          </w:tcPr>
          <w:p>
            <w:pPr>
              <w:spacing w:before="80" w:after="40"/>
            </w:pPr>
            <w:r>
              <w:rPr>
                <w:b/>
              </w:rPr>
              <w:t>6. TESTING, VERIFICATION &amp; SECURITY AUDIT</w:t>
            </w:r>
          </w:p>
        </w:tc>
        <w:tc>
          <w:tcPr>
            <w:tcW w:type="dxa" w:w="1008"/>
          </w:tcPr>
          <w:p>
            <w:pPr>
              <w:spacing w:after="40"/>
              <w:jc w:val="right"/>
            </w:pPr>
            <w:r>
              <w:rPr>
                <w:b/>
              </w:rPr>
              <w:t>26</w:t>
            </w:r>
          </w:p>
        </w:tc>
      </w:tr>
      <w:tr>
        <w:tc>
          <w:tcPr>
            <w:tcW w:type="dxa" w:w="8352"/>
          </w:tcPr>
          <w:p>
            <w:pPr>
              <w:spacing w:after="40"/>
            </w:pPr>
            <w:r>
              <w:t xml:space="preserve">   6.1 Testing Methodology &amp; Verification Strategy</w:t>
            </w:r>
          </w:p>
        </w:tc>
        <w:tc>
          <w:tcPr>
            <w:tcW w:type="dxa" w:w="1008"/>
          </w:tcPr>
          <w:p>
            <w:pPr>
              <w:spacing w:after="40"/>
              <w:jc w:val="right"/>
            </w:pPr>
            <w:r>
              <w:t>26</w:t>
            </w:r>
          </w:p>
        </w:tc>
      </w:tr>
      <w:tr>
        <w:tc>
          <w:tcPr>
            <w:tcW w:type="dxa" w:w="8352"/>
          </w:tcPr>
          <w:p>
            <w:pPr>
              <w:spacing w:after="40"/>
            </w:pPr>
            <w:r>
              <w:t xml:space="preserve">   6.2 Exhaustive Test Case Execution Matrix</w:t>
            </w:r>
          </w:p>
        </w:tc>
        <w:tc>
          <w:tcPr>
            <w:tcW w:type="dxa" w:w="1008"/>
          </w:tcPr>
          <w:p>
            <w:pPr>
              <w:spacing w:after="40"/>
              <w:jc w:val="right"/>
            </w:pPr>
            <w:r>
              <w:t>27</w:t>
            </w:r>
          </w:p>
        </w:tc>
      </w:tr>
      <w:tr>
        <w:tc>
          <w:tcPr>
            <w:tcW w:type="dxa" w:w="8352"/>
          </w:tcPr>
          <w:p>
            <w:pPr>
              <w:spacing w:after="40"/>
            </w:pPr>
            <w:r>
              <w:t xml:space="preserve">   6.3 Static Analysis, TypeScript Compliance &amp; Zero-Lint Audit</w:t>
            </w:r>
          </w:p>
        </w:tc>
        <w:tc>
          <w:tcPr>
            <w:tcW w:type="dxa" w:w="1008"/>
          </w:tcPr>
          <w:p>
            <w:pPr>
              <w:spacing w:after="40"/>
              <w:jc w:val="right"/>
            </w:pPr>
            <w:r>
              <w:t>28</w:t>
            </w:r>
          </w:p>
        </w:tc>
      </w:tr>
      <w:tr>
        <w:tc>
          <w:tcPr>
            <w:tcW w:type="dxa" w:w="8352"/>
          </w:tcPr>
          <w:p>
            <w:pPr>
              <w:spacing w:after="40"/>
            </w:pPr>
            <w:r>
              <w:t xml:space="preserve">   6.4 Application Security Assessment (OWASP Top 10 Mitigation)</w:t>
            </w:r>
          </w:p>
        </w:tc>
        <w:tc>
          <w:tcPr>
            <w:tcW w:type="dxa" w:w="1008"/>
          </w:tcPr>
          <w:p>
            <w:pPr>
              <w:spacing w:after="40"/>
              <w:jc w:val="right"/>
            </w:pPr>
            <w:r>
              <w:t>29</w:t>
            </w:r>
          </w:p>
        </w:tc>
      </w:tr>
      <w:tr>
        <w:tc>
          <w:tcPr>
            <w:tcW w:type="dxa" w:w="8352"/>
          </w:tcPr>
          <w:p>
            <w:pPr>
              <w:spacing w:before="80" w:after="40"/>
            </w:pPr>
            <w:r>
              <w:rPr>
                <w:b/>
              </w:rPr>
              <w:t>7. RESULTS, PERFORMANCE EVALUATION &amp; DISCUSSION</w:t>
            </w:r>
          </w:p>
        </w:tc>
        <w:tc>
          <w:tcPr>
            <w:tcW w:type="dxa" w:w="1008"/>
          </w:tcPr>
          <w:p>
            <w:pPr>
              <w:spacing w:after="40"/>
              <w:jc w:val="right"/>
            </w:pPr>
            <w:r>
              <w:rPr>
                <w:b/>
              </w:rPr>
              <w:t>30</w:t>
            </w:r>
          </w:p>
        </w:tc>
      </w:tr>
      <w:tr>
        <w:tc>
          <w:tcPr>
            <w:tcW w:type="dxa" w:w="8352"/>
          </w:tcPr>
          <w:p>
            <w:pPr>
              <w:spacing w:after="40"/>
            </w:pPr>
            <w:r>
              <w:t xml:space="preserve">   7.1 System Performance &amp; Latency Metrics</w:t>
            </w:r>
          </w:p>
        </w:tc>
        <w:tc>
          <w:tcPr>
            <w:tcW w:type="dxa" w:w="1008"/>
          </w:tcPr>
          <w:p>
            <w:pPr>
              <w:spacing w:after="40"/>
              <w:jc w:val="right"/>
            </w:pPr>
            <w:r>
              <w:t>30</w:t>
            </w:r>
          </w:p>
        </w:tc>
      </w:tr>
      <w:tr>
        <w:tc>
          <w:tcPr>
            <w:tcW w:type="dxa" w:w="8352"/>
          </w:tcPr>
          <w:p>
            <w:pPr>
              <w:spacing w:after="40"/>
            </w:pPr>
            <w:r>
              <w:t xml:space="preserve">   7.2 Operational Evaluation Against Traditional Workflows</w:t>
            </w:r>
          </w:p>
        </w:tc>
        <w:tc>
          <w:tcPr>
            <w:tcW w:type="dxa" w:w="1008"/>
          </w:tcPr>
          <w:p>
            <w:pPr>
              <w:spacing w:after="40"/>
              <w:jc w:val="right"/>
            </w:pPr>
            <w:r>
              <w:t>31</w:t>
            </w:r>
          </w:p>
        </w:tc>
      </w:tr>
      <w:tr>
        <w:tc>
          <w:tcPr>
            <w:tcW w:type="dxa" w:w="8352"/>
          </w:tcPr>
          <w:p>
            <w:pPr>
              <w:spacing w:after="40"/>
            </w:pPr>
            <w:r>
              <w:t xml:space="preserve">   7.3 UI/UX Accessibility &amp; Dark Mode Ergonomics</w:t>
            </w:r>
          </w:p>
        </w:tc>
        <w:tc>
          <w:tcPr>
            <w:tcW w:type="dxa" w:w="1008"/>
          </w:tcPr>
          <w:p>
            <w:pPr>
              <w:spacing w:after="40"/>
              <w:jc w:val="right"/>
            </w:pPr>
            <w:r>
              <w:t>32</w:t>
            </w:r>
          </w:p>
        </w:tc>
      </w:tr>
      <w:tr>
        <w:tc>
          <w:tcPr>
            <w:tcW w:type="dxa" w:w="8352"/>
          </w:tcPr>
          <w:p>
            <w:pPr>
              <w:spacing w:before="80" w:after="40"/>
            </w:pPr>
            <w:r>
              <w:rPr>
                <w:b/>
              </w:rPr>
              <w:t>8. CONCLUSION &amp; FUTURE WORK</w:t>
            </w:r>
          </w:p>
        </w:tc>
        <w:tc>
          <w:tcPr>
            <w:tcW w:type="dxa" w:w="1008"/>
          </w:tcPr>
          <w:p>
            <w:pPr>
              <w:spacing w:after="40"/>
              <w:jc w:val="right"/>
            </w:pPr>
            <w:r>
              <w:rPr>
                <w:b/>
              </w:rPr>
              <w:t>33</w:t>
            </w:r>
          </w:p>
        </w:tc>
      </w:tr>
      <w:tr>
        <w:tc>
          <w:tcPr>
            <w:tcW w:type="dxa" w:w="8352"/>
          </w:tcPr>
          <w:p>
            <w:pPr>
              <w:spacing w:after="40"/>
            </w:pPr>
            <w:r>
              <w:t xml:space="preserve">   8.1 Summary of Contributions</w:t>
            </w:r>
          </w:p>
        </w:tc>
        <w:tc>
          <w:tcPr>
            <w:tcW w:type="dxa" w:w="1008"/>
          </w:tcPr>
          <w:p>
            <w:pPr>
              <w:spacing w:after="40"/>
              <w:jc w:val="right"/>
            </w:pPr>
            <w:r>
              <w:t>33</w:t>
            </w:r>
          </w:p>
        </w:tc>
      </w:tr>
      <w:tr>
        <w:tc>
          <w:tcPr>
            <w:tcW w:type="dxa" w:w="8352"/>
          </w:tcPr>
          <w:p>
            <w:pPr>
              <w:spacing w:after="40"/>
            </w:pPr>
            <w:r>
              <w:t xml:space="preserve">   8.2 Limitations of Current Prototype</w:t>
            </w:r>
          </w:p>
        </w:tc>
        <w:tc>
          <w:tcPr>
            <w:tcW w:type="dxa" w:w="1008"/>
          </w:tcPr>
          <w:p>
            <w:pPr>
              <w:spacing w:after="40"/>
              <w:jc w:val="right"/>
            </w:pPr>
            <w:r>
              <w:t>34</w:t>
            </w:r>
          </w:p>
        </w:tc>
      </w:tr>
      <w:tr>
        <w:tc>
          <w:tcPr>
            <w:tcW w:type="dxa" w:w="8352"/>
          </w:tcPr>
          <w:p>
            <w:pPr>
              <w:spacing w:after="40"/>
            </w:pPr>
            <w:r>
              <w:t xml:space="preserve">   8.3 Roadmap for Future Enhancements</w:t>
            </w:r>
          </w:p>
        </w:tc>
        <w:tc>
          <w:tcPr>
            <w:tcW w:type="dxa" w:w="1008"/>
          </w:tcPr>
          <w:p>
            <w:pPr>
              <w:spacing w:after="40"/>
              <w:jc w:val="right"/>
            </w:pPr>
            <w:r>
              <w:t>34</w:t>
            </w:r>
          </w:p>
        </w:tc>
      </w:tr>
      <w:tr>
        <w:tc>
          <w:tcPr>
            <w:tcW w:type="dxa" w:w="8352"/>
          </w:tcPr>
          <w:p>
            <w:pPr>
              <w:spacing w:before="80" w:after="40"/>
            </w:pPr>
            <w:r>
              <w:rPr>
                <w:b/>
              </w:rPr>
              <w:t>REFERENCES</w:t>
            </w:r>
          </w:p>
        </w:tc>
        <w:tc>
          <w:tcPr>
            <w:tcW w:type="dxa" w:w="1008"/>
          </w:tcPr>
          <w:p>
            <w:pPr>
              <w:spacing w:after="40"/>
              <w:jc w:val="right"/>
            </w:pPr>
            <w:r>
              <w:rPr>
                <w:b/>
              </w:rPr>
              <w:t>35</w:t>
            </w:r>
          </w:p>
        </w:tc>
      </w:tr>
      <w:tr>
        <w:tc>
          <w:tcPr>
            <w:tcW w:type="dxa" w:w="8352"/>
          </w:tcPr>
          <w:p>
            <w:pPr>
              <w:spacing w:before="80" w:after="40"/>
            </w:pPr>
            <w:r>
              <w:rPr>
                <w:b/>
              </w:rPr>
              <w:t>APPENDICES (Prisma Schema, Telemetry Samples, UI Captures)</w:t>
            </w:r>
          </w:p>
        </w:tc>
        <w:tc>
          <w:tcPr>
            <w:tcW w:type="dxa" w:w="1008"/>
          </w:tcPr>
          <w:p>
            <w:pPr>
              <w:spacing w:after="40"/>
              <w:jc w:val="right"/>
            </w:pPr>
            <w:r>
              <w:rPr>
                <w:b/>
              </w:rPr>
              <w:t>36</w:t>
            </w:r>
          </w:p>
        </w:tc>
      </w:tr>
    </w:tbl>
    <w:p>
      <w:r>
        <w:br w:type="page"/>
      </w:r>
    </w:p>
    <w:p>
      <w:pPr>
        <w:pStyle w:val="Heading1"/>
      </w:pPr>
      <w:r>
        <w:rPr>
          <w:color w:val="0E2B5C"/>
        </w:rPr>
        <w:t>LIST OF ABBREVIATIONS</w:t>
      </w:r>
    </w:p>
    <w:tbl>
      <w:tblPr>
        <w:tblW w:type="auto" w:w="0"/>
        <w:jc w:val="center"/>
        <w:tblLook w:firstColumn="1" w:firstRow="1" w:lastColumn="0" w:lastRow="0" w:noHBand="0" w:noVBand="1" w:val="04A0"/>
      </w:tblPr>
      <w:tblGrid>
        <w:gridCol w:w="4680"/>
        <w:gridCol w:w="4680"/>
      </w:tblGrid>
      <w:tr>
        <w:tc>
          <w:tcPr>
            <w:tcW w:type="dxa" w:w="4680"/>
            <w:shd w:fill="0E2B5C"/>
          </w:tcPr>
          <w:p>
            <w:r>
              <w:rPr>
                <w:b/>
                <w:color w:val="FFFFFF"/>
              </w:rPr>
              <w:t>Acronym</w:t>
            </w:r>
          </w:p>
        </w:tc>
        <w:tc>
          <w:tcPr>
            <w:tcW w:type="dxa" w:w="4680"/>
            <w:shd w:fill="0E2B5C"/>
          </w:tcPr>
          <w:p>
            <w:r>
              <w:rPr>
                <w:b/>
                <w:color w:val="FFFFFF"/>
              </w:rPr>
              <w:t>Definition</w:t>
            </w:r>
          </w:p>
        </w:tc>
      </w:tr>
      <w:tr>
        <w:tc>
          <w:tcPr>
            <w:tcW w:type="dxa" w:w="2592"/>
          </w:tcPr>
          <w:p>
            <w:r>
              <w:rPr>
                <w:b/>
              </w:rPr>
              <w:t>API</w:t>
            </w:r>
          </w:p>
        </w:tc>
        <w:tc>
          <w:tcPr>
            <w:tcW w:type="dxa" w:w="6768"/>
          </w:tcPr>
          <w:p>
            <w:r>
              <w:t>Application Programming Interface</w:t>
            </w:r>
          </w:p>
        </w:tc>
      </w:tr>
      <w:tr>
        <w:tc>
          <w:tcPr>
            <w:tcW w:type="dxa" w:w="2592"/>
            <w:shd w:fill="F3F4F6"/>
          </w:tcPr>
          <w:p>
            <w:r>
              <w:rPr>
                <w:b/>
              </w:rPr>
              <w:t>CSS</w:t>
            </w:r>
          </w:p>
        </w:tc>
        <w:tc>
          <w:tcPr>
            <w:tcW w:type="dxa" w:w="6768"/>
            <w:shd w:fill="F3F4F6"/>
          </w:tcPr>
          <w:p>
            <w:r>
              <w:t>Cascading Style Sheets</w:t>
            </w:r>
          </w:p>
        </w:tc>
      </w:tr>
      <w:tr>
        <w:tc>
          <w:tcPr>
            <w:tcW w:type="dxa" w:w="2592"/>
          </w:tcPr>
          <w:p>
            <w:r>
              <w:rPr>
                <w:b/>
              </w:rPr>
              <w:t>CSV</w:t>
            </w:r>
          </w:p>
        </w:tc>
        <w:tc>
          <w:tcPr>
            <w:tcW w:type="dxa" w:w="6768"/>
          </w:tcPr>
          <w:p>
            <w:r>
              <w:t>Comma-Separated Values</w:t>
            </w:r>
          </w:p>
        </w:tc>
      </w:tr>
      <w:tr>
        <w:tc>
          <w:tcPr>
            <w:tcW w:type="dxa" w:w="2592"/>
            <w:shd w:fill="F3F4F6"/>
          </w:tcPr>
          <w:p>
            <w:r>
              <w:rPr>
                <w:b/>
              </w:rPr>
              <w:t>DFIR</w:t>
            </w:r>
          </w:p>
        </w:tc>
        <w:tc>
          <w:tcPr>
            <w:tcW w:type="dxa" w:w="6768"/>
            <w:shd w:fill="F3F4F6"/>
          </w:tcPr>
          <w:p>
            <w:r>
              <w:t>Digital Forensics and Incident Response</w:t>
            </w:r>
          </w:p>
        </w:tc>
      </w:tr>
      <w:tr>
        <w:tc>
          <w:tcPr>
            <w:tcW w:type="dxa" w:w="2592"/>
          </w:tcPr>
          <w:p>
            <w:r>
              <w:rPr>
                <w:b/>
              </w:rPr>
              <w:t>DFD</w:t>
            </w:r>
          </w:p>
        </w:tc>
        <w:tc>
          <w:tcPr>
            <w:tcW w:type="dxa" w:w="6768"/>
          </w:tcPr>
          <w:p>
            <w:r>
              <w:t>Data Flow Diagram</w:t>
            </w:r>
          </w:p>
        </w:tc>
      </w:tr>
      <w:tr>
        <w:tc>
          <w:tcPr>
            <w:tcW w:type="dxa" w:w="2592"/>
            <w:shd w:fill="F3F4F6"/>
          </w:tcPr>
          <w:p>
            <w:r>
              <w:rPr>
                <w:b/>
              </w:rPr>
              <w:t>ERD</w:t>
            </w:r>
          </w:p>
        </w:tc>
        <w:tc>
          <w:tcPr>
            <w:tcW w:type="dxa" w:w="6768"/>
            <w:shd w:fill="F3F4F6"/>
          </w:tcPr>
          <w:p>
            <w:r>
              <w:t>Entity Relationship Diagram</w:t>
            </w:r>
          </w:p>
        </w:tc>
      </w:tr>
      <w:tr>
        <w:tc>
          <w:tcPr>
            <w:tcW w:type="dxa" w:w="2592"/>
          </w:tcPr>
          <w:p>
            <w:r>
              <w:rPr>
                <w:b/>
              </w:rPr>
              <w:t>HTML</w:t>
            </w:r>
          </w:p>
        </w:tc>
        <w:tc>
          <w:tcPr>
            <w:tcW w:type="dxa" w:w="6768"/>
          </w:tcPr>
          <w:p>
            <w:r>
              <w:t>HyperText Markup Language</w:t>
            </w:r>
          </w:p>
        </w:tc>
      </w:tr>
      <w:tr>
        <w:tc>
          <w:tcPr>
            <w:tcW w:type="dxa" w:w="2592"/>
            <w:shd w:fill="F3F4F6"/>
          </w:tcPr>
          <w:p>
            <w:r>
              <w:rPr>
                <w:b/>
              </w:rPr>
              <w:t>HTTP</w:t>
            </w:r>
          </w:p>
        </w:tc>
        <w:tc>
          <w:tcPr>
            <w:tcW w:type="dxa" w:w="6768"/>
            <w:shd w:fill="F3F4F6"/>
          </w:tcPr>
          <w:p>
            <w:r>
              <w:t>HyperText Transfer Protocol</w:t>
            </w:r>
          </w:p>
        </w:tc>
      </w:tr>
      <w:tr>
        <w:tc>
          <w:tcPr>
            <w:tcW w:type="dxa" w:w="2592"/>
          </w:tcPr>
          <w:p>
            <w:r>
              <w:rPr>
                <w:b/>
              </w:rPr>
              <w:t>IP</w:t>
            </w:r>
          </w:p>
        </w:tc>
        <w:tc>
          <w:tcPr>
            <w:tcW w:type="dxa" w:w="6768"/>
          </w:tcPr>
          <w:p>
            <w:r>
              <w:t>Internet Protocol</w:t>
            </w:r>
          </w:p>
        </w:tc>
      </w:tr>
      <w:tr>
        <w:tc>
          <w:tcPr>
            <w:tcW w:type="dxa" w:w="2592"/>
            <w:shd w:fill="F3F4F6"/>
          </w:tcPr>
          <w:p>
            <w:r>
              <w:rPr>
                <w:b/>
              </w:rPr>
              <w:t>IRCC</w:t>
            </w:r>
          </w:p>
        </w:tc>
        <w:tc>
          <w:tcPr>
            <w:tcW w:type="dxa" w:w="6768"/>
            <w:shd w:fill="F3F4F6"/>
          </w:tcPr>
          <w:p>
            <w:r>
              <w:t>Incident Response Command Center</w:t>
            </w:r>
          </w:p>
        </w:tc>
      </w:tr>
      <w:tr>
        <w:tc>
          <w:tcPr>
            <w:tcW w:type="dxa" w:w="2592"/>
          </w:tcPr>
          <w:p>
            <w:r>
              <w:rPr>
                <w:b/>
              </w:rPr>
              <w:t>JSON</w:t>
            </w:r>
          </w:p>
        </w:tc>
        <w:tc>
          <w:tcPr>
            <w:tcW w:type="dxa" w:w="6768"/>
          </w:tcPr>
          <w:p>
            <w:r>
              <w:t>JavaScript Object Notation</w:t>
            </w:r>
          </w:p>
        </w:tc>
      </w:tr>
      <w:tr>
        <w:tc>
          <w:tcPr>
            <w:tcW w:type="dxa" w:w="2592"/>
            <w:shd w:fill="F3F4F6"/>
          </w:tcPr>
          <w:p>
            <w:r>
              <w:rPr>
                <w:b/>
              </w:rPr>
              <w:t>JWT</w:t>
            </w:r>
          </w:p>
        </w:tc>
        <w:tc>
          <w:tcPr>
            <w:tcW w:type="dxa" w:w="6768"/>
            <w:shd w:fill="F3F4F6"/>
          </w:tcPr>
          <w:p>
            <w:r>
              <w:t>JSON Web Token</w:t>
            </w:r>
          </w:p>
        </w:tc>
      </w:tr>
      <w:tr>
        <w:tc>
          <w:tcPr>
            <w:tcW w:type="dxa" w:w="2592"/>
          </w:tcPr>
          <w:p>
            <w:r>
              <w:rPr>
                <w:b/>
              </w:rPr>
              <w:t>MTTD</w:t>
            </w:r>
          </w:p>
        </w:tc>
        <w:tc>
          <w:tcPr>
            <w:tcW w:type="dxa" w:w="6768"/>
          </w:tcPr>
          <w:p>
            <w:r>
              <w:t>Mean Time to Detect</w:t>
            </w:r>
          </w:p>
        </w:tc>
      </w:tr>
      <w:tr>
        <w:tc>
          <w:tcPr>
            <w:tcW w:type="dxa" w:w="2592"/>
            <w:shd w:fill="F3F4F6"/>
          </w:tcPr>
          <w:p>
            <w:r>
              <w:rPr>
                <w:b/>
              </w:rPr>
              <w:t>MTTR</w:t>
            </w:r>
          </w:p>
        </w:tc>
        <w:tc>
          <w:tcPr>
            <w:tcW w:type="dxa" w:w="6768"/>
            <w:shd w:fill="F3F4F6"/>
          </w:tcPr>
          <w:p>
            <w:r>
              <w:t>Mean Time to Respond</w:t>
            </w:r>
          </w:p>
        </w:tc>
      </w:tr>
      <w:tr>
        <w:tc>
          <w:tcPr>
            <w:tcW w:type="dxa" w:w="2592"/>
          </w:tcPr>
          <w:p>
            <w:r>
              <w:rPr>
                <w:b/>
              </w:rPr>
              <w:t>NIST</w:t>
            </w:r>
          </w:p>
        </w:tc>
        <w:tc>
          <w:tcPr>
            <w:tcW w:type="dxa" w:w="6768"/>
          </w:tcPr>
          <w:p>
            <w:r>
              <w:t>National Institute of Standards and Technology</w:t>
            </w:r>
          </w:p>
        </w:tc>
      </w:tr>
      <w:tr>
        <w:tc>
          <w:tcPr>
            <w:tcW w:type="dxa" w:w="2592"/>
            <w:shd w:fill="F3F4F6"/>
          </w:tcPr>
          <w:p>
            <w:r>
              <w:rPr>
                <w:b/>
              </w:rPr>
              <w:t>ORM</w:t>
            </w:r>
          </w:p>
        </w:tc>
        <w:tc>
          <w:tcPr>
            <w:tcW w:type="dxa" w:w="6768"/>
            <w:shd w:fill="F3F4F6"/>
          </w:tcPr>
          <w:p>
            <w:r>
              <w:t>Object-Relational Mapping</w:t>
            </w:r>
          </w:p>
        </w:tc>
      </w:tr>
      <w:tr>
        <w:tc>
          <w:tcPr>
            <w:tcW w:type="dxa" w:w="2592"/>
          </w:tcPr>
          <w:p>
            <w:r>
              <w:rPr>
                <w:b/>
              </w:rPr>
              <w:t>OWASP</w:t>
            </w:r>
          </w:p>
        </w:tc>
        <w:tc>
          <w:tcPr>
            <w:tcW w:type="dxa" w:w="6768"/>
          </w:tcPr>
          <w:p>
            <w:r>
              <w:t>Open Worldwide Application Security Project</w:t>
            </w:r>
          </w:p>
        </w:tc>
      </w:tr>
      <w:tr>
        <w:tc>
          <w:tcPr>
            <w:tcW w:type="dxa" w:w="2592"/>
            <w:shd w:fill="F3F4F6"/>
          </w:tcPr>
          <w:p>
            <w:r>
              <w:rPr>
                <w:b/>
              </w:rPr>
              <w:t>RBAC</w:t>
            </w:r>
          </w:p>
        </w:tc>
        <w:tc>
          <w:tcPr>
            <w:tcW w:type="dxa" w:w="6768"/>
            <w:shd w:fill="F3F4F6"/>
          </w:tcPr>
          <w:p>
            <w:r>
              <w:t>Role-Based Access Control</w:t>
            </w:r>
          </w:p>
        </w:tc>
      </w:tr>
      <w:tr>
        <w:tc>
          <w:tcPr>
            <w:tcW w:type="dxa" w:w="2592"/>
          </w:tcPr>
          <w:p>
            <w:r>
              <w:rPr>
                <w:b/>
              </w:rPr>
              <w:t>SIEM</w:t>
            </w:r>
          </w:p>
        </w:tc>
        <w:tc>
          <w:tcPr>
            <w:tcW w:type="dxa" w:w="6768"/>
          </w:tcPr>
          <w:p>
            <w:r>
              <w:t>Security Information and Event Management</w:t>
            </w:r>
          </w:p>
        </w:tc>
      </w:tr>
      <w:tr>
        <w:tc>
          <w:tcPr>
            <w:tcW w:type="dxa" w:w="2592"/>
            <w:shd w:fill="F3F4F6"/>
          </w:tcPr>
          <w:p>
            <w:r>
              <w:rPr>
                <w:b/>
              </w:rPr>
              <w:t>SLA</w:t>
            </w:r>
          </w:p>
        </w:tc>
        <w:tc>
          <w:tcPr>
            <w:tcW w:type="dxa" w:w="6768"/>
            <w:shd w:fill="F3F4F6"/>
          </w:tcPr>
          <w:p>
            <w:r>
              <w:t>Service Level Agreement</w:t>
            </w:r>
          </w:p>
        </w:tc>
      </w:tr>
      <w:tr>
        <w:tc>
          <w:tcPr>
            <w:tcW w:type="dxa" w:w="2592"/>
          </w:tcPr>
          <w:p>
            <w:r>
              <w:rPr>
                <w:b/>
              </w:rPr>
              <w:t>SOAR</w:t>
            </w:r>
          </w:p>
        </w:tc>
        <w:tc>
          <w:tcPr>
            <w:tcW w:type="dxa" w:w="6768"/>
          </w:tcPr>
          <w:p>
            <w:r>
              <w:t>Security Orchestration, Automation, and Response</w:t>
            </w:r>
          </w:p>
        </w:tc>
      </w:tr>
      <w:tr>
        <w:tc>
          <w:tcPr>
            <w:tcW w:type="dxa" w:w="2592"/>
            <w:shd w:fill="F3F4F6"/>
          </w:tcPr>
          <w:p>
            <w:r>
              <w:rPr>
                <w:b/>
              </w:rPr>
              <w:t>SOC</w:t>
            </w:r>
          </w:p>
        </w:tc>
        <w:tc>
          <w:tcPr>
            <w:tcW w:type="dxa" w:w="6768"/>
            <w:shd w:fill="F3F4F6"/>
          </w:tcPr>
          <w:p>
            <w:r>
              <w:t>Security Operations Center</w:t>
            </w:r>
          </w:p>
        </w:tc>
      </w:tr>
      <w:tr>
        <w:tc>
          <w:tcPr>
            <w:tcW w:type="dxa" w:w="2592"/>
          </w:tcPr>
          <w:p>
            <w:r>
              <w:rPr>
                <w:b/>
              </w:rPr>
              <w:t>SQL</w:t>
            </w:r>
          </w:p>
        </w:tc>
        <w:tc>
          <w:tcPr>
            <w:tcW w:type="dxa" w:w="6768"/>
          </w:tcPr>
          <w:p>
            <w:r>
              <w:t>Structured Query Language</w:t>
            </w:r>
          </w:p>
        </w:tc>
      </w:tr>
      <w:tr>
        <w:tc>
          <w:tcPr>
            <w:tcW w:type="dxa" w:w="2592"/>
            <w:shd w:fill="F3F4F6"/>
          </w:tcPr>
          <w:p>
            <w:r>
              <w:rPr>
                <w:b/>
              </w:rPr>
              <w:t>TCP</w:t>
            </w:r>
          </w:p>
        </w:tc>
        <w:tc>
          <w:tcPr>
            <w:tcW w:type="dxa" w:w="6768"/>
            <w:shd w:fill="F3F4F6"/>
          </w:tcPr>
          <w:p>
            <w:r>
              <w:t>Transmission Control Protocol</w:t>
            </w:r>
          </w:p>
        </w:tc>
      </w:tr>
      <w:tr>
        <w:tc>
          <w:tcPr>
            <w:tcW w:type="dxa" w:w="2592"/>
          </w:tcPr>
          <w:p>
            <w:r>
              <w:rPr>
                <w:b/>
              </w:rPr>
              <w:t>UI/UX</w:t>
            </w:r>
          </w:p>
        </w:tc>
        <w:tc>
          <w:tcPr>
            <w:tcW w:type="dxa" w:w="6768"/>
          </w:tcPr>
          <w:p>
            <w:r>
              <w:t>User Interface / User Experience</w:t>
            </w:r>
          </w:p>
        </w:tc>
      </w:tr>
      <w:tr>
        <w:tc>
          <w:tcPr>
            <w:tcW w:type="dxa" w:w="2592"/>
            <w:shd w:fill="F3F4F6"/>
          </w:tcPr>
          <w:p>
            <w:r>
              <w:rPr>
                <w:b/>
              </w:rPr>
              <w:t>UDP</w:t>
            </w:r>
          </w:p>
        </w:tc>
        <w:tc>
          <w:tcPr>
            <w:tcW w:type="dxa" w:w="6768"/>
            <w:shd w:fill="F3F4F6"/>
          </w:tcPr>
          <w:p>
            <w:r>
              <w:t>User Datagram Protocol</w:t>
            </w:r>
          </w:p>
        </w:tc>
      </w:tr>
      <w:tr>
        <w:tc>
          <w:tcPr>
            <w:tcW w:type="dxa" w:w="2592"/>
          </w:tcPr>
          <w:p>
            <w:r>
              <w:rPr>
                <w:b/>
              </w:rPr>
              <w:t>WAF</w:t>
            </w:r>
          </w:p>
        </w:tc>
        <w:tc>
          <w:tcPr>
            <w:tcW w:type="dxa" w:w="6768"/>
          </w:tcPr>
          <w:p>
            <w:r>
              <w:t>Web Application Firewall</w:t>
            </w:r>
          </w:p>
        </w:tc>
      </w:tr>
    </w:tbl>
    <w:p>
      <w:r>
        <w:br w:type="page"/>
      </w:r>
    </w:p>
    <w:p>
      <w:pPr>
        <w:pStyle w:val="Heading1"/>
      </w:pPr>
      <w:r>
        <w:rPr>
          <w:color w:val="0E2B5C"/>
        </w:rPr>
        <w:t>CHAPTER 1: INTRODUCTION</w:t>
      </w:r>
    </w:p>
    <w:p>
      <w:pPr>
        <w:pStyle w:val="Heading2"/>
      </w:pPr>
      <w:r>
        <w:rPr>
          <w:color w:val="0284C7"/>
        </w:rPr>
        <w:t>1.1 Background and Domain Context</w:t>
      </w:r>
    </w:p>
    <w:p>
      <w:pPr>
        <w:spacing w:line="312" w:lineRule="auto"/>
      </w:pPr>
      <w:r>
        <w:t>In the contemporary hyper-connected digital landscape, enterprise networks are subjected to sophisticated, multi-vector cyber attacks ranging from advanced persistent threats (APTs), distributed denial-of-service (DDoS) campaigns, and ransomware infections to insider credential compromises. Modern enterprise defense relies primarily on Security Operations Centers (SOCs), where security analysts continually triage telemetry originating from firewalls, intrusion detection systems (IDS), endpoint detection and response (EDR) agents, and Web Application Firewalls (WAF).</w:t>
        <w:br/>
        <w:br/>
        <w:t>Despite significant capital expenditure in monitoring software, organizations routinely suffer from operational fatigue. Alert volumes frequently exceed thousands of notifications per shift, overwhelming frontline Tier 1 (L1) triage personnel. Consequently, critical anomalies remain unattended for hours or days, directly elevating organizational risk and compliance liability.</w:t>
      </w:r>
    </w:p>
    <w:p>
      <w:pPr>
        <w:pStyle w:val="Heading2"/>
      </w:pPr>
      <w:r>
        <w:rPr>
          <w:color w:val="0284C7"/>
        </w:rPr>
        <w:t>1.2 Problem Statement</w:t>
      </w:r>
    </w:p>
    <w:p>
      <w:pPr>
        <w:spacing w:line="312" w:lineRule="auto"/>
      </w:pPr>
      <w:r>
        <w:t>Contemporary incident management often suffers from the following fundamental software engineering and operational failures:</w:t>
        <w:br/>
        <w:t>1. Telemetry Disconnect: Standard enterprise ticketing tools (such as generic IT service portals) treat cyber incidents as generic support tickets, lacking dedicated schema fields for Layer 3/4 telemetry (Source IP, Destination IP, Source Port, Destination Port) and forensic context.</w:t>
        <w:br/>
        <w:t>2. Absence of Direct Artifact Inspection: Incident responders must navigate between separate terminal windows, SIEM tools, and ticket threads. Attaching log evidence is cumbersome, and tools fail to parse or display raw logs inline, hindering rapid triage.</w:t>
        <w:br/>
        <w:t>3. Rigid, Flat Access Control: Generic platforms do not model the hierarchical realities of cyber defense teams, where distinct privileges are required for L1 Triage, L2 Deep Analysis, L3 Threat Engineering, Incident Commanders, Digital Forensics (DFIR), and Administrators.</w:t>
        <w:br/>
        <w:t>4. Sluggish Reporting and War Room Inefficiencies: When critical (P0/Critical) incidents occur, cross-functional collaboration is hindered by disjointed comment streams and the absence of immediate, one-click executive summaries and forensic export formats.</w:t>
      </w:r>
    </w:p>
    <w:p>
      <w:pPr>
        <w:pStyle w:val="Heading2"/>
      </w:pPr>
      <w:r>
        <w:rPr>
          <w:color w:val="0284C7"/>
        </w:rPr>
        <w:t>1.3 Project Motivation and Scope</w:t>
      </w:r>
    </w:p>
    <w:p>
      <w:pPr>
        <w:spacing w:line="312" w:lineRule="auto"/>
      </w:pPr>
      <w:r>
        <w:t>The primary motivation of the AEGIS-IRCC project is to architect, develop, and benchmark a specialized, cohesive Cyber Incident Response Command Center that addresses the structural limitations of generic service desks. By coupling modern reactive web application paradigms with cybersecurity domain requirements, Aegis IRCC unifies alert intake, live network telemetry inspection, client-side log file analysis, and standardized NIST-aligned escalation matrices into a single, high-performance web interface.</w:t>
        <w:br/>
        <w:br/>
        <w:t>Scope of the System:</w:t>
        <w:br/>
        <w:t>• Intake and Telemetry: Capturing standardized incident records with optional IPv4/IPv6 source/destination telemetry, ports, and unstructured metadata.</w:t>
        <w:br/>
        <w:t>• Forensic Log Engine: Direct drag-and-drop ingestion of log files (.log, .txt, .json, .csv) with client-side parsing, character-safe display, copying, and download.</w:t>
        <w:br/>
        <w:t>• Hierarchical RBAC: Full enforcement of 8 security personas across all views and API mutations.</w:t>
        <w:br/>
        <w:t>• War Room &amp; SLA Monitoring: Dedicated incident investigation views with dynamic escalation timelines, real-time comment feeds, and SLA computation.</w:t>
        <w:br/>
        <w:t>• Export Architecture: Dual-format reporting including instant tabular CSV streaming and publication-ready PDF Post-Mortem reports.</w:t>
      </w:r>
    </w:p>
    <w:p>
      <w:pPr>
        <w:pStyle w:val="Heading2"/>
      </w:pPr>
      <w:r>
        <w:rPr>
          <w:color w:val="0284C7"/>
        </w:rPr>
        <w:t>1.4 Project Objectives and Key Deliverables</w:t>
      </w:r>
    </w:p>
    <w:p>
      <w:pPr>
        <w:spacing w:line="312" w:lineRule="auto"/>
      </w:pPr>
      <w:r>
        <w:t>The technical and engineering goals of this project are quantified as follows:</w:t>
        <w:br/>
        <w:t>• Design a Type-Safe Architecture: Zero runtime typing errors and zero ESLint warnings across the entire full-stack Next.js codebase.</w:t>
        <w:br/>
        <w:t>• Sub-Second Real-Time Telemetry: Ensure dashboard metrics, incident creation, and tier escalations execute and revalidate in under 200 milliseconds.</w:t>
        <w:br/>
        <w:t>• Integrated Forensic Tooling: Eliminate the need for external text editors by embedding a syntax-styled, high-performance log reader inside the incident war room.</w:t>
        <w:br/>
        <w:t>• Administrative Self-Governance: Provide full administrative CRUD capabilities over user accounts while implementing safeguards against accidental administrator lockout.</w:t>
        <w:br/>
        <w:t>• Ergonomic Operational Design: Implement high-contrast dark mode and clean day mode typography tailored for SOC monitoring screens.</w:t>
      </w:r>
    </w:p>
    <w:p>
      <w:r>
        <w:br w:type="page"/>
      </w:r>
    </w:p>
    <w:p>
      <w:pPr>
        <w:pStyle w:val="Heading1"/>
      </w:pPr>
      <w:r>
        <w:rPr>
          <w:color w:val="0E2B5C"/>
        </w:rPr>
        <w:t>CHAPTER 2: LITERATURE REVIEW &amp; THEORETICAL FOUNDATIONS</w:t>
      </w:r>
    </w:p>
    <w:p>
      <w:pPr>
        <w:pStyle w:val="Heading2"/>
      </w:pPr>
      <w:r>
        <w:rPr>
          <w:color w:val="0284C7"/>
        </w:rPr>
        <w:t>2.1 Evolution of SOC &amp; Incident Handling Frameworks</w:t>
      </w:r>
    </w:p>
    <w:p>
      <w:pPr>
        <w:spacing w:line="312" w:lineRule="auto"/>
      </w:pPr>
      <w:r>
        <w:t>Security Operations Centers have transitioned through three primary generations over the past two decades. The first generation (1G SOC) relied on manual log centralization and static rule-based correlation using early SIEM systems. The second generation (2G SOC) introduced automated alert aggregation and multi-tier analyst specialization (Tier 1 Triage, Tier 2 Incident Response, Tier 3 Threat Hunting). The contemporary third generation (3G SOC) emphasizes automated response playbooks, Security Orchestration, Automation, and Response (SOAR), and collaborative incident war rooms capable of immediate forensic telemetry visualization.</w:t>
      </w:r>
    </w:p>
    <w:p>
      <w:pPr>
        <w:pStyle w:val="Heading2"/>
      </w:pPr>
      <w:r>
        <w:rPr>
          <w:color w:val="0284C7"/>
        </w:rPr>
        <w:t>2.2 Analysis of the NIST SP 800-61 Rev. 2 Lifecycle</w:t>
      </w:r>
    </w:p>
    <w:p>
      <w:pPr>
        <w:spacing w:line="312" w:lineRule="auto"/>
      </w:pPr>
      <w:r>
        <w:t>The National Institute of Standards and Technology (NIST) Special Publication 800-61 Revision 2 defines the definitive four-stage Computer Security Incident Handling Guide:</w:t>
        <w:br/>
        <w:t>1. Preparation: Establishing operational capability, tools, authorization matrices, and communication infrastructure.</w:t>
        <w:br/>
        <w:t>2. Detection &amp; Analysis: Validating threat indicators, collecting network artifacts (IP addresses, ports, protocol signatures), assessing priority (Low, Medium, High, Critical), and assigning initial triage tier (L1).</w:t>
        <w:br/>
        <w:t>3. Containment, Eradication &amp; Recovery: Escalating to specialized responders (L2/L3), isolating affected host nodes, gathering forensic memory/disk dumps, and neutralizing threats.</w:t>
        <w:br/>
        <w:t>4. Post-Incident Activity: Compiling comprehensive post-mortem documentation, analyzing lessons learned, and updating organizational defensive baselines.</w:t>
        <w:br/>
        <w:br/>
        <w:t>Aegis IRCC implements this lifecycle directly into its software architecture, ensuring that every incident systematically traverses from Triage through Containment to Post-Mortem compilation.</w:t>
      </w:r>
    </w:p>
    <w:p>
      <w:pPr>
        <w:pStyle w:val="Heading2"/>
      </w:pPr>
      <w:r>
        <w:rPr>
          <w:color w:val="0284C7"/>
        </w:rPr>
        <w:t>2.3 Comparative Survey of Existing Solutions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E2B5C"/>
          </w:tcPr>
          <w:p>
            <w:r>
              <w:rPr>
                <w:b/>
                <w:color w:val="FFFFFF"/>
              </w:rPr>
              <w:t>Feature / Capability</w:t>
            </w:r>
          </w:p>
        </w:tc>
        <w:tc>
          <w:tcPr>
            <w:tcW w:type="dxa" w:w="1872"/>
            <w:shd w:fill="0E2B5C"/>
          </w:tcPr>
          <w:p>
            <w:r>
              <w:rPr>
                <w:b/>
                <w:color w:val="FFFFFF"/>
              </w:rPr>
              <w:t>Jira Service Desk</w:t>
            </w:r>
          </w:p>
        </w:tc>
        <w:tc>
          <w:tcPr>
            <w:tcW w:type="dxa" w:w="1872"/>
            <w:shd w:fill="0E2B5C"/>
          </w:tcPr>
          <w:p>
            <w:r>
              <w:rPr>
                <w:b/>
                <w:color w:val="FFFFFF"/>
              </w:rPr>
              <w:t>ServiceNow SecOps</w:t>
            </w:r>
          </w:p>
        </w:tc>
        <w:tc>
          <w:tcPr>
            <w:tcW w:type="dxa" w:w="1872"/>
            <w:shd w:fill="0E2B5C"/>
          </w:tcPr>
          <w:p>
            <w:r>
              <w:rPr>
                <w:b/>
                <w:color w:val="FFFFFF"/>
              </w:rPr>
              <w:t>TheHive Project</w:t>
            </w:r>
          </w:p>
        </w:tc>
        <w:tc>
          <w:tcPr>
            <w:tcW w:type="dxa" w:w="1872"/>
            <w:shd w:fill="0E2B5C"/>
          </w:tcPr>
          <w:p>
            <w:r>
              <w:rPr>
                <w:b/>
                <w:color w:val="FFFFFF"/>
              </w:rPr>
              <w:t>AEGIS-IRCC (Ours)</w:t>
            </w:r>
          </w:p>
        </w:tc>
      </w:tr>
      <w:tr>
        <w:tc>
          <w:tcPr>
            <w:tcW w:type="dxa" w:w="1872"/>
          </w:tcPr>
          <w:p>
            <w:r>
              <w:t>Network Telemetry Ingestion</w:t>
            </w:r>
          </w:p>
        </w:tc>
        <w:tc>
          <w:tcPr>
            <w:tcW w:type="dxa" w:w="1872"/>
          </w:tcPr>
          <w:p>
            <w:r>
              <w:t>No (Plugin req.)</w:t>
            </w:r>
          </w:p>
        </w:tc>
        <w:tc>
          <w:tcPr>
            <w:tcW w:type="dxa" w:w="1872"/>
          </w:tcPr>
          <w:p>
            <w:r>
              <w:t>Yes (Enterprise Tier)</w:t>
            </w:r>
          </w:p>
        </w:tc>
        <w:tc>
          <w:tcPr>
            <w:tcW w:type="dxa" w:w="1872"/>
          </w:tcPr>
          <w:p>
            <w:r>
              <w:t>Yes (Custom Observable)</w:t>
            </w:r>
          </w:p>
        </w:tc>
        <w:tc>
          <w:tcPr>
            <w:tcW w:type="dxa" w:w="1872"/>
          </w:tcPr>
          <w:p>
            <w:r>
              <w:rPr>
                <w:b/>
              </w:rPr>
              <w:t>Yes (Native L3/L4 &amp; Custom)</w:t>
            </w:r>
          </w:p>
        </w:tc>
      </w:tr>
      <w:tr>
        <w:tc>
          <w:tcPr>
            <w:tcW w:type="dxa" w:w="1872"/>
            <w:shd w:fill="F3F4F6"/>
          </w:tcPr>
          <w:p>
            <w:r>
              <w:t>Embedded Log File Viewer</w:t>
            </w:r>
          </w:p>
        </w:tc>
        <w:tc>
          <w:tcPr>
            <w:tcW w:type="dxa" w:w="1872"/>
            <w:shd w:fill="F3F4F6"/>
          </w:tcPr>
          <w:p>
            <w:r>
              <w:t>Generic Attachment</w:t>
            </w:r>
          </w:p>
        </w:tc>
        <w:tc>
          <w:tcPr>
            <w:tcW w:type="dxa" w:w="1872"/>
            <w:shd w:fill="F3F4F6"/>
          </w:tcPr>
          <w:p>
            <w:r>
              <w:t>Download Only</w:t>
            </w:r>
          </w:p>
        </w:tc>
        <w:tc>
          <w:tcPr>
            <w:tcW w:type="dxa" w:w="1872"/>
            <w:shd w:fill="F3F4F6"/>
          </w:tcPr>
          <w:p>
            <w:r>
              <w:t>Text Preview Only</w:t>
            </w:r>
          </w:p>
        </w:tc>
        <w:tc>
          <w:tcPr>
            <w:tcW w:type="dxa" w:w="1872"/>
            <w:shd w:fill="F3F4F6"/>
          </w:tcPr>
          <w:p>
            <w:r>
              <w:rPr>
                <w:b/>
              </w:rPr>
              <w:t>Interactive Console + Copy/Download</w:t>
            </w:r>
          </w:p>
        </w:tc>
      </w:tr>
      <w:tr>
        <w:tc>
          <w:tcPr>
            <w:tcW w:type="dxa" w:w="1872"/>
          </w:tcPr>
          <w:p>
            <w:r>
              <w:t>Tiered Escalation Matrix</w:t>
            </w:r>
          </w:p>
        </w:tc>
        <w:tc>
          <w:tcPr>
            <w:tcW w:type="dxa" w:w="1872"/>
          </w:tcPr>
          <w:p>
            <w:r>
              <w:t>Basic Workflow</w:t>
            </w:r>
          </w:p>
        </w:tc>
        <w:tc>
          <w:tcPr>
            <w:tcW w:type="dxa" w:w="1872"/>
          </w:tcPr>
          <w:p>
            <w:r>
              <w:t>Complex Configuration</w:t>
            </w:r>
          </w:p>
        </w:tc>
        <w:tc>
          <w:tcPr>
            <w:tcW w:type="dxa" w:w="1872"/>
          </w:tcPr>
          <w:p>
            <w:r>
              <w:t>Static Tasks</w:t>
            </w:r>
          </w:p>
        </w:tc>
        <w:tc>
          <w:tcPr>
            <w:tcW w:type="dxa" w:w="1872"/>
          </w:tcPr>
          <w:p>
            <w:r>
              <w:rPr>
                <w:b/>
              </w:rPr>
              <w:t>Dynamic Tier State Machine (L1-&gt;L3)</w:t>
            </w:r>
          </w:p>
        </w:tc>
      </w:tr>
      <w:tr>
        <w:tc>
          <w:tcPr>
            <w:tcW w:type="dxa" w:w="1872"/>
            <w:shd w:fill="F3F4F6"/>
          </w:tcPr>
          <w:p>
            <w:r>
              <w:t>Reporting &amp; PDF War Log</w:t>
            </w:r>
          </w:p>
        </w:tc>
        <w:tc>
          <w:tcPr>
            <w:tcW w:type="dxa" w:w="1872"/>
            <w:shd w:fill="F3F4F6"/>
          </w:tcPr>
          <w:p>
            <w:r>
              <w:t>Add-on required</w:t>
            </w:r>
          </w:p>
        </w:tc>
        <w:tc>
          <w:tcPr>
            <w:tcW w:type="dxa" w:w="1872"/>
            <w:shd w:fill="F3F4F6"/>
          </w:tcPr>
          <w:p>
            <w:r>
              <w:t>Yes (Heavyweight)</w:t>
            </w:r>
          </w:p>
        </w:tc>
        <w:tc>
          <w:tcPr>
            <w:tcW w:type="dxa" w:w="1872"/>
            <w:shd w:fill="F3F4F6"/>
          </w:tcPr>
          <w:p>
            <w:r>
              <w:t>Template Export</w:t>
            </w:r>
          </w:p>
        </w:tc>
        <w:tc>
          <w:tcPr>
            <w:tcW w:type="dxa" w:w="1872"/>
            <w:shd w:fill="F3F4F6"/>
          </w:tcPr>
          <w:p>
            <w:r>
              <w:rPr>
                <w:b/>
              </w:rPr>
              <w:t>Instant 1-Click PDF + Live CSV Stream</w:t>
            </w:r>
          </w:p>
        </w:tc>
      </w:tr>
    </w:tbl>
    <w:p>
      <w:pPr>
        <w:spacing w:before="160"/>
      </w:pPr>
    </w:p>
    <w:p>
      <w:pPr>
        <w:pStyle w:val="Heading2"/>
      </w:pPr>
      <w:r>
        <w:rPr>
          <w:color w:val="0284C7"/>
        </w:rPr>
        <w:t>2.4 Identified Research &amp; Implementation Gaps</w:t>
      </w:r>
    </w:p>
    <w:p>
      <w:pPr>
        <w:spacing w:line="312" w:lineRule="auto"/>
      </w:pPr>
      <w:r>
        <w:t>The survey reveals that existing commercial solutions are often excessively complex, slow to load, and decouple telemetry from the triage form. Conversely, open-source tools frequently suffer from outdated user interfaces, steep deployment curves, and lack of real-time ergonomic feedback. Aegis IRCC bridges this gap by providing an agile, zero-overhead, cloud-native command center that balances depth with velocity.</w:t>
      </w:r>
    </w:p>
    <w:p>
      <w:r>
        <w:br w:type="page"/>
      </w:r>
    </w:p>
    <w:p>
      <w:pPr>
        <w:pStyle w:val="Heading1"/>
      </w:pPr>
      <w:r>
        <w:rPr>
          <w:color w:val="0E2B5C"/>
        </w:rPr>
        <w:t>CHAPTER 3: SYSTEM REQUIREMENTS &amp; FEASIBILITY STUDY</w:t>
      </w:r>
    </w:p>
    <w:p>
      <w:pPr>
        <w:pStyle w:val="Heading2"/>
      </w:pPr>
      <w:r>
        <w:rPr>
          <w:color w:val="0284C7"/>
        </w:rPr>
        <w:t>3.1 Functional Requirements Specification</w:t>
      </w:r>
    </w:p>
    <w:p>
      <w:pPr>
        <w:spacing w:line="312" w:lineRule="auto"/>
      </w:pPr>
      <w:r>
        <w:t>The functional requirements (FR) define the core operational behaviors of the Aegis IRCC platform:</w:t>
        <w:br/>
        <w:t>• FR-01: Authentication &amp; Identity Management: The system shall provide secure email/password credential authentication with password obfuscation toggles and session persistence via NextAuth.</w:t>
        <w:br/>
        <w:t>• FR-02: Granular Role-Based Access Control (RBAC): The system shall recognize and enforce 8 discrete system roles: Base User (USER), L1 Triage (L1), L2 Responder (L2), L3 Analyst (L3), Incident Responder (RESPONDER), Incident Commander (INCIDENT_RESPONDER), Digital Forensics (DIGITAL_FORENSICS), and System Administrator (ADMIN).</w:t>
        <w:br/>
        <w:t>• FR-03: Telemetry Incident Submission: Analysts must be able to log incidents with mandatory fields (Title, Description, Priority) and optional Layer 3/4 telemetry (Source IP, Destination IP, Source Port, Destination Port, Other Info).</w:t>
        <w:br/>
        <w:t>• FR-04: Log File Ingestion: The system shall support optional drag-and-drop attachment of log files up to 2MB, reading and embedding their text representation within the incident audit log.</w:t>
        <w:br/>
        <w:t>• FR-05: Real-Time Incident War Room: Authorized responders shall view dedicated incident workspaces with real-time status banners, assigned personnel, escalation controls, and interactive log consoles.</w:t>
        <w:br/>
        <w:t>• FR-06: Tier Escalation Governance: Incidents shall be capable of promotion across operational tiers (L1 to L2, L2 to L3) accompanied by mandatory justification notes recorded in an immutable audit timeline.</w:t>
        <w:br/>
        <w:t>• FR-07: Real-Time Search &amp; Telemetry Filtering: The incident hub shall filter records instantaneously across Status, Priority, Escalation Tier, and free-text queries matching IDs, Titles, and IP addresses.</w:t>
        <w:br/>
        <w:t>• FR-08: Administrative Personnel Management: System Administrators shall have full authority to provision accounts, modify credentials, adjust roles, and remove personnel with automatic prevention of self-demotion or final admin deletion.</w:t>
      </w:r>
    </w:p>
    <w:p>
      <w:pPr>
        <w:pStyle w:val="Heading2"/>
      </w:pPr>
      <w:r>
        <w:rPr>
          <w:color w:val="0284C7"/>
        </w:rPr>
        <w:t>3.2 Non-Functional Requirements</w:t>
      </w:r>
    </w:p>
    <w:p>
      <w:pPr>
        <w:spacing w:line="312" w:lineRule="auto"/>
      </w:pPr>
      <w:r>
        <w:t>• NFR-01 (Performance &amp; Latency): Time to First Byte (TTFB) shall remain under 150ms on cloud deployment. Database transactions must execute within 50ms.</w:t>
        <w:br/>
        <w:t>• NFR-02 (Security &amp; Integrity): All database mutations must utilize parameterized prepared statements via Prisma ORM to guarantee SQL Injection immunity. Passwords must never be transmitted in plain HTTP.</w:t>
        <w:br/>
        <w:t>• NFR-03 (Availability &amp; Scalability): Serverless backend routes on Vercel Edge/Serverless compute paired with Neon Serverless Postgres auto-scaling to absorb spikes during major breach events.</w:t>
        <w:br/>
        <w:t>• NFR-04 (Ergonomics &amp; Accessibility): Full adherence to modern WCAG 2.1 accessibility standards, dark-mode color balance to prevent SOC eye-strain, and zero high-contrast border bleed.</w:t>
      </w:r>
    </w:p>
    <w:p>
      <w:pPr>
        <w:pStyle w:val="Heading2"/>
      </w:pPr>
      <w:r>
        <w:rPr>
          <w:color w:val="0284C7"/>
        </w:rPr>
        <w:t>3.3 Feasibility Analysis</w:t>
      </w:r>
    </w:p>
    <w:p>
      <w:pPr>
        <w:spacing w:line="312" w:lineRule="auto"/>
      </w:pPr>
      <w:r>
        <w:t>• Technical Feasibility: The platform leverages industry-proven open-source foundations: Next.js 15, React 19, TypeScript 5, Tailwind CSS, and Prisma ORM. No proprietary external software licenses are required.</w:t>
        <w:br/>
        <w:t>• Operational Feasibility: The application requires zero client software installation; operators access the platform via any standard HTML5 browser (Chrome, Edge, Firefox, Safari).</w:t>
        <w:br/>
        <w:t>• Economic Feasibility: Serverless infrastructure pricing scales to zero when idle, minimizing operating costs for small and medium enterprises compared to legacy enterprise licensing models.</w:t>
      </w:r>
    </w:p>
    <w:p>
      <w:r>
        <w:br w:type="page"/>
      </w:r>
    </w:p>
    <w:p>
      <w:pPr>
        <w:pStyle w:val="Heading1"/>
      </w:pPr>
      <w:r>
        <w:rPr>
          <w:color w:val="0E2B5C"/>
        </w:rPr>
        <w:t>CHAPTER 4: SYSTEM ARCHITECTURE &amp; DESIGN METHODOLOGY</w:t>
      </w:r>
    </w:p>
    <w:p>
      <w:pPr>
        <w:pStyle w:val="Heading2"/>
      </w:pPr>
      <w:r>
        <w:rPr>
          <w:color w:val="0284C7"/>
        </w:rPr>
        <w:t>4.1 High-Level Architecture</w:t>
      </w:r>
    </w:p>
    <w:p>
      <w:pPr>
        <w:spacing w:line="312" w:lineRule="auto"/>
      </w:pPr>
      <w:r>
        <w:t>Aegis IRCC utilizes a modern 3-Tier Layered Architecture structured within the Next.js 15 App Router paradigm:</w:t>
        <w:br/>
        <w:t>1. Presentation Tier (Client Components): React 19 components executing in the operator's browser, responsible for UI rendering, DOM event handling, local theme switching, and drag-and-drop log handling.</w:t>
        <w:br/>
        <w:t>2. Application Logic &amp; Routing Tier (Server Components &amp; Server Actions): Asynchronous server-side controllers handling business validation, permission checks, structured telemetry parsing, and session tokens.</w:t>
        <w:br/>
        <w:t>3. Data &amp; Persistence Tier (Prisma ORM &amp; PostgreSQL): Relational database layer executing prepared SQL queries against Neon Serverless Postgres, enforcing relational integrity and cascading escalation relations.</w:t>
      </w:r>
    </w:p>
    <w:p>
      <w:pPr>
        <w:pStyle w:val="Heading2"/>
      </w:pPr>
      <w:r>
        <w:rPr>
          <w:color w:val="0284C7"/>
        </w:rPr>
        <w:t>4.2 Database Schema &amp; Entity-Relationship Design</w:t>
      </w:r>
    </w:p>
    <w:p>
      <w:pPr>
        <w:spacing w:line="312" w:lineRule="auto"/>
      </w:pPr>
      <w:r>
        <w:t>The relational database schema is modeled in Prisma schema notation and mapped directly to relational PostgreSQL tables:</w:t>
        <w:br/>
        <w:t>• User Entity: Stores account credentials, full names, operational roles (Role enum), and foreign key relations to reported/assigned incidents.</w:t>
        <w:br/>
        <w:t>• Incident Entity: Primary aggregate root storing Title, Description, Priority (Priority enum), Status (Status enum), Escalation Tier (EscalationTier enum), Network Telemetry (sourceIp, destinationIp, sourcePort, destinationPort), timestamps, and relation links.</w:t>
        <w:br/>
        <w:t>• Escalation Entity: Immutable audit ledger capturing incident transitions between tiers, previous tier, new tier, timestamp, and the authenticated user who authorized the escalation.</w:t>
        <w:br/>
        <w:t>• Comment Entity: Real-time threaded collaboration log linking analyst messages to specific incident war rooms.</w:t>
        <w:br/>
        <w:t>• PostMortem Entity: Finalized post-incident documentation detailing root causes and preventative remediation actions.</w:t>
      </w:r>
    </w:p>
    <w:p>
      <w:pPr>
        <w:pStyle w:val="Heading2"/>
      </w:pPr>
      <w:r>
        <w:rPr>
          <w:color w:val="0284C7"/>
        </w:rPr>
        <w:t>4.3 Role-Based Access Control (RBAC)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E2B5C"/>
          </w:tcPr>
          <w:p>
            <w:r>
              <w:rPr>
                <w:b/>
                <w:color w:val="FFFFFF"/>
              </w:rPr>
              <w:t>System Role</w:t>
            </w:r>
          </w:p>
        </w:tc>
        <w:tc>
          <w:tcPr>
            <w:tcW w:type="dxa" w:w="1872"/>
            <w:shd w:fill="0E2B5C"/>
          </w:tcPr>
          <w:p>
            <w:r>
              <w:rPr>
                <w:b/>
                <w:color w:val="FFFFFF"/>
              </w:rPr>
              <w:t>Read Incidents</w:t>
            </w:r>
          </w:p>
        </w:tc>
        <w:tc>
          <w:tcPr>
            <w:tcW w:type="dxa" w:w="1872"/>
            <w:shd w:fill="0E2B5C"/>
          </w:tcPr>
          <w:p>
            <w:r>
              <w:rPr>
                <w:b/>
                <w:color w:val="FFFFFF"/>
              </w:rPr>
              <w:t>Post / Triage</w:t>
            </w:r>
          </w:p>
        </w:tc>
        <w:tc>
          <w:tcPr>
            <w:tcW w:type="dxa" w:w="1872"/>
            <w:shd w:fill="0E2B5C"/>
          </w:tcPr>
          <w:p>
            <w:r>
              <w:rPr>
                <w:b/>
                <w:color w:val="FFFFFF"/>
              </w:rPr>
              <w:t>Escalate Tiers</w:t>
            </w:r>
          </w:p>
        </w:tc>
        <w:tc>
          <w:tcPr>
            <w:tcW w:type="dxa" w:w="1872"/>
            <w:shd w:fill="0E2B5C"/>
          </w:tcPr>
          <w:p>
            <w:r>
              <w:rPr>
                <w:b/>
                <w:color w:val="FFFFFF"/>
              </w:rPr>
              <w:t>Admin Console</w:t>
            </w:r>
          </w:p>
        </w:tc>
      </w:tr>
      <w:tr>
        <w:tc>
          <w:tcPr>
            <w:tcW w:type="dxa" w:w="1872"/>
          </w:tcPr>
          <w:p>
            <w:r>
              <w:rPr>
                <w:b/>
              </w:rPr>
              <w:t>Base User (USER)</w:t>
            </w:r>
          </w:p>
        </w:tc>
        <w:tc>
          <w:tcPr>
            <w:tcW w:type="dxa" w:w="1872"/>
          </w:tcPr>
          <w:p>
            <w:r>
              <w:t>Yes (Own)</w:t>
            </w:r>
          </w:p>
        </w:tc>
        <w:tc>
          <w:tcPr>
            <w:tcW w:type="dxa" w:w="1872"/>
          </w:tcPr>
          <w:p>
            <w:r>
              <w:t>Yes</w:t>
            </w:r>
          </w:p>
        </w:tc>
        <w:tc>
          <w:tcPr>
            <w:tcW w:type="dxa" w:w="1872"/>
          </w:tcPr>
          <w:p>
            <w:r>
              <w:t>No</w:t>
            </w:r>
          </w:p>
        </w:tc>
        <w:tc>
          <w:tcPr>
            <w:tcW w:type="dxa" w:w="1872"/>
          </w:tcPr>
          <w:p>
            <w:r>
              <w:t>No</w:t>
            </w:r>
          </w:p>
        </w:tc>
      </w:tr>
      <w:tr>
        <w:tc>
          <w:tcPr>
            <w:tcW w:type="dxa" w:w="1872"/>
            <w:shd w:fill="F3F4F6"/>
          </w:tcPr>
          <w:p>
            <w:r>
              <w:rPr>
                <w:b/>
              </w:rPr>
              <w:t>L1 Triage (L1)</w:t>
            </w:r>
          </w:p>
        </w:tc>
        <w:tc>
          <w:tcPr>
            <w:tcW w:type="dxa" w:w="1872"/>
            <w:shd w:fill="F3F4F6"/>
          </w:tcPr>
          <w:p>
            <w:r>
              <w:t>Yes (All)</w:t>
            </w:r>
          </w:p>
        </w:tc>
        <w:tc>
          <w:tcPr>
            <w:tcW w:type="dxa" w:w="1872"/>
            <w:shd w:fill="F3F4F6"/>
          </w:tcPr>
          <w:p>
            <w:r>
              <w:t>Yes</w:t>
            </w:r>
          </w:p>
        </w:tc>
        <w:tc>
          <w:tcPr>
            <w:tcW w:type="dxa" w:w="1872"/>
            <w:shd w:fill="F3F4F6"/>
          </w:tcPr>
          <w:p>
            <w:r>
              <w:t>To L2</w:t>
            </w:r>
          </w:p>
        </w:tc>
        <w:tc>
          <w:tcPr>
            <w:tcW w:type="dxa" w:w="1872"/>
            <w:shd w:fill="F3F4F6"/>
          </w:tcPr>
          <w:p>
            <w:r>
              <w:t>No</w:t>
            </w:r>
          </w:p>
        </w:tc>
      </w:tr>
      <w:tr>
        <w:tc>
          <w:tcPr>
            <w:tcW w:type="dxa" w:w="1872"/>
          </w:tcPr>
          <w:p>
            <w:r>
              <w:rPr>
                <w:b/>
              </w:rPr>
              <w:t>L2 Responder (L2)</w:t>
            </w:r>
          </w:p>
        </w:tc>
        <w:tc>
          <w:tcPr>
            <w:tcW w:type="dxa" w:w="1872"/>
          </w:tcPr>
          <w:p>
            <w:r>
              <w:t>Yes (All)</w:t>
            </w:r>
          </w:p>
        </w:tc>
        <w:tc>
          <w:tcPr>
            <w:tcW w:type="dxa" w:w="1872"/>
          </w:tcPr>
          <w:p>
            <w:r>
              <w:t>Yes</w:t>
            </w:r>
          </w:p>
        </w:tc>
        <w:tc>
          <w:tcPr>
            <w:tcW w:type="dxa" w:w="1872"/>
          </w:tcPr>
          <w:p>
            <w:r>
              <w:t>To L3</w:t>
            </w:r>
          </w:p>
        </w:tc>
        <w:tc>
          <w:tcPr>
            <w:tcW w:type="dxa" w:w="1872"/>
          </w:tcPr>
          <w:p>
            <w:r>
              <w:t>No</w:t>
            </w:r>
          </w:p>
        </w:tc>
      </w:tr>
      <w:tr>
        <w:tc>
          <w:tcPr>
            <w:tcW w:type="dxa" w:w="1872"/>
            <w:shd w:fill="F3F4F6"/>
          </w:tcPr>
          <w:p>
            <w:r>
              <w:rPr>
                <w:b/>
              </w:rPr>
              <w:t>L3 Analyst (L3)</w:t>
            </w:r>
          </w:p>
        </w:tc>
        <w:tc>
          <w:tcPr>
            <w:tcW w:type="dxa" w:w="1872"/>
            <w:shd w:fill="F3F4F6"/>
          </w:tcPr>
          <w:p>
            <w:r>
              <w:t>Yes (All)</w:t>
            </w:r>
          </w:p>
        </w:tc>
        <w:tc>
          <w:tcPr>
            <w:tcW w:type="dxa" w:w="1872"/>
            <w:shd w:fill="F3F4F6"/>
          </w:tcPr>
          <w:p>
            <w:r>
              <w:t>Yes</w:t>
            </w:r>
          </w:p>
        </w:tc>
        <w:tc>
          <w:tcPr>
            <w:tcW w:type="dxa" w:w="1872"/>
            <w:shd w:fill="F3F4F6"/>
          </w:tcPr>
          <w:p>
            <w:r>
              <w:t>Full</w:t>
            </w:r>
          </w:p>
        </w:tc>
        <w:tc>
          <w:tcPr>
            <w:tcW w:type="dxa" w:w="1872"/>
            <w:shd w:fill="F3F4F6"/>
          </w:tcPr>
          <w:p>
            <w:r>
              <w:t>No</w:t>
            </w:r>
          </w:p>
        </w:tc>
      </w:tr>
      <w:tr>
        <w:tc>
          <w:tcPr>
            <w:tcW w:type="dxa" w:w="1872"/>
          </w:tcPr>
          <w:p>
            <w:r>
              <w:rPr>
                <w:b/>
              </w:rPr>
              <w:t>Incident Responder</w:t>
            </w:r>
          </w:p>
        </w:tc>
        <w:tc>
          <w:tcPr>
            <w:tcW w:type="dxa" w:w="1872"/>
          </w:tcPr>
          <w:p>
            <w:r>
              <w:t>Yes (All)</w:t>
            </w:r>
          </w:p>
        </w:tc>
        <w:tc>
          <w:tcPr>
            <w:tcW w:type="dxa" w:w="1872"/>
          </w:tcPr>
          <w:p>
            <w:r>
              <w:t>Yes</w:t>
            </w:r>
          </w:p>
        </w:tc>
        <w:tc>
          <w:tcPr>
            <w:tcW w:type="dxa" w:w="1872"/>
          </w:tcPr>
          <w:p>
            <w:r>
              <w:t>Full</w:t>
            </w:r>
          </w:p>
        </w:tc>
        <w:tc>
          <w:tcPr>
            <w:tcW w:type="dxa" w:w="1872"/>
          </w:tcPr>
          <w:p>
            <w:r>
              <w:t>No</w:t>
            </w:r>
          </w:p>
        </w:tc>
      </w:tr>
      <w:tr>
        <w:tc>
          <w:tcPr>
            <w:tcW w:type="dxa" w:w="1872"/>
            <w:shd w:fill="F3F4F6"/>
          </w:tcPr>
          <w:p>
            <w:r>
              <w:rPr>
                <w:b/>
              </w:rPr>
              <w:t>Incident Commander</w:t>
            </w:r>
          </w:p>
        </w:tc>
        <w:tc>
          <w:tcPr>
            <w:tcW w:type="dxa" w:w="1872"/>
            <w:shd w:fill="F3F4F6"/>
          </w:tcPr>
          <w:p>
            <w:r>
              <w:t>Yes (All)</w:t>
            </w:r>
          </w:p>
        </w:tc>
        <w:tc>
          <w:tcPr>
            <w:tcW w:type="dxa" w:w="1872"/>
            <w:shd w:fill="F3F4F6"/>
          </w:tcPr>
          <w:p>
            <w:r>
              <w:t>Yes</w:t>
            </w:r>
          </w:p>
        </w:tc>
        <w:tc>
          <w:tcPr>
            <w:tcW w:type="dxa" w:w="1872"/>
            <w:shd w:fill="F3F4F6"/>
          </w:tcPr>
          <w:p>
            <w:r>
              <w:t>Full</w:t>
            </w:r>
          </w:p>
        </w:tc>
        <w:tc>
          <w:tcPr>
            <w:tcW w:type="dxa" w:w="1872"/>
            <w:shd w:fill="F3F4F6"/>
          </w:tcPr>
          <w:p>
            <w:r>
              <w:t>No</w:t>
            </w:r>
          </w:p>
        </w:tc>
      </w:tr>
      <w:tr>
        <w:tc>
          <w:tcPr>
            <w:tcW w:type="dxa" w:w="1872"/>
          </w:tcPr>
          <w:p>
            <w:r>
              <w:rPr>
                <w:b/>
              </w:rPr>
              <w:t>Digital Forensics</w:t>
            </w:r>
          </w:p>
        </w:tc>
        <w:tc>
          <w:tcPr>
            <w:tcW w:type="dxa" w:w="1872"/>
          </w:tcPr>
          <w:p>
            <w:r>
              <w:t>Yes (All)</w:t>
            </w:r>
          </w:p>
        </w:tc>
        <w:tc>
          <w:tcPr>
            <w:tcW w:type="dxa" w:w="1872"/>
          </w:tcPr>
          <w:p>
            <w:r>
              <w:t>Yes</w:t>
            </w:r>
          </w:p>
        </w:tc>
        <w:tc>
          <w:tcPr>
            <w:tcW w:type="dxa" w:w="1872"/>
          </w:tcPr>
          <w:p>
            <w:r>
              <w:t>Full</w:t>
            </w:r>
          </w:p>
        </w:tc>
        <w:tc>
          <w:tcPr>
            <w:tcW w:type="dxa" w:w="1872"/>
          </w:tcPr>
          <w:p>
            <w:r>
              <w:t>No</w:t>
            </w:r>
          </w:p>
        </w:tc>
      </w:tr>
      <w:tr>
        <w:tc>
          <w:tcPr>
            <w:tcW w:type="dxa" w:w="1872"/>
            <w:shd w:fill="F3F4F6"/>
          </w:tcPr>
          <w:p>
            <w:r>
              <w:rPr>
                <w:b/>
              </w:rPr>
              <w:t>System Administrator</w:t>
            </w:r>
          </w:p>
        </w:tc>
        <w:tc>
          <w:tcPr>
            <w:tcW w:type="dxa" w:w="1872"/>
            <w:shd w:fill="F3F4F6"/>
          </w:tcPr>
          <w:p>
            <w:r>
              <w:t>Yes (All)</w:t>
            </w:r>
          </w:p>
        </w:tc>
        <w:tc>
          <w:tcPr>
            <w:tcW w:type="dxa" w:w="1872"/>
            <w:shd w:fill="F3F4F6"/>
          </w:tcPr>
          <w:p>
            <w:r>
              <w:t>Yes</w:t>
            </w:r>
          </w:p>
        </w:tc>
        <w:tc>
          <w:tcPr>
            <w:tcW w:type="dxa" w:w="1872"/>
            <w:shd w:fill="F3F4F6"/>
          </w:tcPr>
          <w:p>
            <w:r>
              <w:t>Full</w:t>
            </w:r>
          </w:p>
        </w:tc>
        <w:tc>
          <w:tcPr>
            <w:tcW w:type="dxa" w:w="1872"/>
            <w:shd w:fill="F3F4F6"/>
          </w:tcPr>
          <w:p>
            <w:r>
              <w:t>Yes (Full CRUD)</w:t>
            </w:r>
          </w:p>
        </w:tc>
      </w:tr>
    </w:tbl>
    <w:p>
      <w:pPr>
        <w:spacing w:before="160"/>
      </w:pPr>
    </w:p>
    <w:p>
      <w:pPr>
        <w:pStyle w:val="Heading2"/>
      </w:pPr>
      <w:r>
        <w:rPr>
          <w:color w:val="0284C7"/>
        </w:rPr>
        <w:t>4.4 Data Flow Diagrams &amp; Lifecycle Sequence</w:t>
      </w:r>
    </w:p>
    <w:p>
      <w:pPr>
        <w:spacing w:line="312" w:lineRule="auto"/>
      </w:pPr>
      <w:r>
        <w:t>Data Flow Architecture:</w:t>
        <w:br/>
        <w:t>• DFD Level 0 (Context Level): Operator submits Incident Data &amp; Log File -&gt; Aegis IRCC Core -&gt; Persistent PostgreSQL Storage &amp; Event Dashboard.</w:t>
        <w:br/>
        <w:t>• DFD Level 1 (Process Level): Intake Form validates inputs -&gt; Log Parser extracts character stream -&gt; Server Action serializes record -&gt; Prisma writes to DB -&gt; Next.js revalidates cache tag -&gt; Dashboard subscribers receive updated metric stream.</w:t>
        <w:br/>
        <w:t>• DFD Level 2 (Escalation): L1 Operator requests promotion -&gt; System verifies caller authorization -&gt; Incident tier updated to L2 -&gt; Escalation record appended to audit table -&gt; War Room UI updates state without full page refresh.</w:t>
      </w:r>
    </w:p>
    <w:p>
      <w:r>
        <w:br w:type="page"/>
      </w:r>
    </w:p>
    <w:p>
      <w:pPr>
        <w:pStyle w:val="Heading1"/>
      </w:pPr>
      <w:r>
        <w:rPr>
          <w:color w:val="0E2B5C"/>
        </w:rPr>
        <w:t>CHAPTER 5: IMPLEMENTATION &amp; CORE TECHNOLOGICAL STACK</w:t>
      </w:r>
    </w:p>
    <w:p>
      <w:pPr>
        <w:pStyle w:val="Heading2"/>
      </w:pPr>
      <w:r>
        <w:rPr>
          <w:color w:val="0284C7"/>
        </w:rPr>
        <w:t>5.1 Technology Stack Rationalization</w:t>
      </w:r>
    </w:p>
    <w:p>
      <w:pPr>
        <w:spacing w:line="312" w:lineRule="auto"/>
      </w:pPr>
      <w:r>
        <w:t>The selection of the implementation stack was governed by performance, security, and developer ergonomics:</w:t>
        <w:br/>
        <w:t>• Next.js 15 App Router: Employs React Server Components (RSC) to minimize client-side JavaScript bundle sizes and accelerate initial page loads.</w:t>
        <w:br/>
        <w:t>• TypeScript 5: Provides compile-time type safety across database models, server actions, and component props, precluding entire classes of runtime exceptions.</w:t>
        <w:br/>
        <w:t>• Prisma ORM: Generates an immutable, type-safe client that bridges application code to PostgreSQL, supporting relational cascading and transactional consistency.</w:t>
        <w:br/>
        <w:t>• Tailwind CSS: Delivers atomic, utility-first styling with customized design tokens (--color-primary, --color-surface) supporting seamless dark/light theme switching.</w:t>
        <w:br/>
        <w:t>• NextAuth.js: Manages JWT-based user authentication, credential validation, and session propagation across client and server boundaries.</w:t>
      </w:r>
    </w:p>
    <w:p>
      <w:pPr>
        <w:pStyle w:val="Heading2"/>
      </w:pPr>
      <w:r>
        <w:rPr>
          <w:color w:val="0284C7"/>
        </w:rPr>
        <w:t>5.2 Module A: Authentication &amp; Identity Management</w:t>
      </w:r>
    </w:p>
    <w:p>
      <w:pPr>
        <w:spacing w:line="312" w:lineRule="auto"/>
      </w:pPr>
      <w:r>
        <w:t>The authentication module (src/app/login/page.tsx) provides a streamlined interface for operator entry. Key implementation details include:</w:t>
        <w:br/>
        <w:t>• Interactive Show/Hide Password Feature: Incorporates a visibility toggle utilizing Material Symbols Outlined icons, allowing operators to inspect entered credentials before submission.</w:t>
        <w:br/>
        <w:t>• Asynchronous Credential Verification: Dispatches credentials to the NextAuth handler without page reloads, providing clear, sanitized error messages on invalid authentication.</w:t>
        <w:br/>
        <w:t>• Protected Route Middleware: Redirects unauthenticated requests to the login portal and restricts administrative routes (/admin) strictly to accounts possessing the ADMIN role.</w:t>
      </w:r>
    </w:p>
    <w:p>
      <w:pPr>
        <w:pStyle w:val="Heading2"/>
      </w:pPr>
      <w:r>
        <w:rPr>
          <w:color w:val="0284C7"/>
        </w:rPr>
        <w:t>5.3 Module B: Incident Intake &amp; Network Telemetry Engine</w:t>
      </w:r>
    </w:p>
    <w:p>
      <w:pPr>
        <w:spacing w:line="312" w:lineRule="auto"/>
      </w:pPr>
      <w:r>
        <w:t>Implemented in src/app/(dashboard)/incidents/new/page.tsx and src/actions/incidents.ts, this module handles the capture of operational threat data. In addition to standard severity levels (Low, Medium, High, Critical), the form incorporates dedicated Layer 3 and Layer 4 telemetry fields:</w:t>
        <w:br/>
        <w:t>• Source IP (e.g., 192.168.1.100) and Source Port (e.g., 443)</w:t>
        <w:br/>
        <w:t>• Destination IP (e.g., 10.0.0.5) and Destination Port (e.g., 8080)</w:t>
        <w:br/>
        <w:t>• Other Information: A dedicated attribute input allowing analysts to specify protocol signatures, hostnames, user-agents, or malicious process names.</w:t>
      </w:r>
    </w:p>
    <w:p>
      <w:pPr>
        <w:pStyle w:val="Heading2"/>
      </w:pPr>
      <w:r>
        <w:rPr>
          <w:color w:val="0284C7"/>
        </w:rPr>
        <w:t>5.4 Module C: In-Browser Forensic Log Parser &amp; Terminal Viewer</w:t>
      </w:r>
    </w:p>
    <w:p>
      <w:pPr>
        <w:spacing w:line="312" w:lineRule="auto"/>
      </w:pPr>
      <w:r>
        <w:t>To empower frontline triage without third-party tools, an embedded log processing engine was built:</w:t>
        <w:br/>
        <w:t>• Client-Side File Intake: Supports drag-and-drop or file browsing for .log, .txt, .json, and .csv files up to 2MB.</w:t>
        <w:br/>
        <w:t>• FileReader Memory Ingestion: Reads file streams directly into memory, packaging the content alongside the incident description via structured delimiters (src/lib/incident-parser.ts).</w:t>
        <w:br/>
        <w:t>• War Room Inspection Console (src/components/AttachedLogViewer.tsx): Renders the log in a specialized dark terminal console with line counts, monospace typography, one-click clipboard copying, and direct browser file downloading.</w:t>
      </w:r>
    </w:p>
    <w:p>
      <w:pPr>
        <w:pStyle w:val="Heading2"/>
      </w:pPr>
      <w:r>
        <w:rPr>
          <w:color w:val="0284C7"/>
        </w:rPr>
        <w:t>5.5 Module D: Incident War Room &amp; Multi-Tier Escalation Matrix</w:t>
      </w:r>
    </w:p>
    <w:p>
      <w:pPr>
        <w:spacing w:line="312" w:lineRule="auto"/>
      </w:pPr>
      <w:r>
        <w:t>The War Room view (src/app/(dashboard)/incidents/[id]/page.tsx) acts as the operational nerve center for active incidents. Key implementation aspects include:</w:t>
        <w:br/>
        <w:t>• Real-Time Status Indicators: Color-coded severity banners (Red for Critical, Amber for High, Blue for Medium, Emerald for Low).</w:t>
        <w:br/>
        <w:t>• Network Telemetry &amp; Attributes Card: Formats IP and Port pairings with distinct color tags and monospace typography.</w:t>
        <w:br/>
        <w:t>• Escalation State Machine: Allows authorized responders to promote incidents (L1 -&gt; L2 -&gt; L3) with audit log recording.</w:t>
        <w:br/>
        <w:t>• Threaded Communication Feed: Enables analysts to post timestamped observations and forensic notes.</w:t>
      </w:r>
    </w:p>
    <w:p>
      <w:pPr>
        <w:pStyle w:val="Heading2"/>
      </w:pPr>
      <w:r>
        <w:rPr>
          <w:color w:val="0284C7"/>
        </w:rPr>
        <w:t>5.6 Module E: Dashboard Telemetry, Search Filtering &amp; CSV Export</w:t>
      </w:r>
    </w:p>
    <w:p>
      <w:pPr>
        <w:spacing w:line="312" w:lineRule="auto"/>
      </w:pPr>
      <w:r>
        <w:t>The command dashboard provides immediate situational awareness:</w:t>
        <w:br/>
        <w:t>• Realtime vs. Past 24h Filter: Dynamic URL query parameters (?time=24h) computing active incidents, resolved cases, and SLA performance.</w:t>
        <w:br/>
        <w:t>• Incident Filter Bar: Reactive multi-attribute filtering across Status, Priority, and Tier derived directly from URL search parameters, eliminating state synchronization bugs.</w:t>
        <w:br/>
        <w:t>• CSV War Log Exporter (src/components/ExportDashboardCsvButton.tsx): Compiles live incident arrays into sanitized Comma-Separated Values (CSV) files with auto-generated filenames.</w:t>
      </w:r>
    </w:p>
    <w:p>
      <w:pPr>
        <w:pStyle w:val="Heading2"/>
      </w:pPr>
      <w:r>
        <w:rPr>
          <w:color w:val="0284C7"/>
        </w:rPr>
        <w:t>5.7 Module F: Administrative Command Center &amp; Account Provisioning</w:t>
      </w:r>
    </w:p>
    <w:p>
      <w:pPr>
        <w:spacing w:line="312" w:lineRule="auto"/>
      </w:pPr>
      <w:r>
        <w:t>Located in src/app/(dashboard)/admin/page.tsx, the admin center provides full personnel lifecycle management:</w:t>
        <w:br/>
        <w:t>• Complete Role Provisioning: Create new responder accounts with any of the 8 system roles.</w:t>
        <w:br/>
        <w:t>• Inline Record Updating: Modify user display names, email addresses, roles, and passwords with instant feedback.</w:t>
        <w:br/>
        <w:t>• Lockout Protection Rails: Backend validation in deleteUser and updateUser prevents deleting or demoting the last remaining system administrator, guaranteeing ongoing system governance.</w:t>
      </w:r>
    </w:p>
    <w:p>
      <w:r>
        <w:br w:type="page"/>
      </w:r>
    </w:p>
    <w:p>
      <w:pPr>
        <w:pStyle w:val="Heading1"/>
      </w:pPr>
      <w:r>
        <w:rPr>
          <w:color w:val="0E2B5C"/>
        </w:rPr>
        <w:t>CHAPTER 6: TESTING, VERIFICATION &amp; SECURITY AUDIT</w:t>
      </w:r>
    </w:p>
    <w:p>
      <w:pPr>
        <w:pStyle w:val="Heading2"/>
      </w:pPr>
      <w:r>
        <w:rPr>
          <w:color w:val="0284C7"/>
        </w:rPr>
        <w:t>6.1 Testing Methodology</w:t>
      </w:r>
    </w:p>
    <w:p>
      <w:pPr>
        <w:spacing w:line="312" w:lineRule="auto"/>
      </w:pPr>
      <w:r>
        <w:t>A rigorous multi-tiered verification methodology was applied throughout development, encompassing Unit Testing, Integration Verification, Static Code Analysis, and Security Compliance Auditing.</w:t>
      </w:r>
    </w:p>
    <w:p>
      <w:pPr>
        <w:pStyle w:val="Heading2"/>
      </w:pPr>
      <w:r>
        <w:rPr>
          <w:color w:val="0284C7"/>
        </w:rPr>
        <w:t>6.2 Test Case Execution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E2B5C"/>
          </w:tcPr>
          <w:p>
            <w:r>
              <w:rPr>
                <w:b/>
                <w:color w:val="FFFFFF"/>
              </w:rPr>
              <w:t>Test ID</w:t>
            </w:r>
          </w:p>
        </w:tc>
        <w:tc>
          <w:tcPr>
            <w:tcW w:type="dxa" w:w="1872"/>
            <w:shd w:fill="0E2B5C"/>
          </w:tcPr>
          <w:p>
            <w:r>
              <w:rPr>
                <w:b/>
                <w:color w:val="FFFFFF"/>
              </w:rPr>
              <w:t>Test Scenario</w:t>
            </w:r>
          </w:p>
        </w:tc>
        <w:tc>
          <w:tcPr>
            <w:tcW w:type="dxa" w:w="1872"/>
            <w:shd w:fill="0E2B5C"/>
          </w:tcPr>
          <w:p>
            <w:r>
              <w:rPr>
                <w:b/>
                <w:color w:val="FFFFFF"/>
              </w:rPr>
              <w:t>Input / Action</w:t>
            </w:r>
          </w:p>
        </w:tc>
        <w:tc>
          <w:tcPr>
            <w:tcW w:type="dxa" w:w="1872"/>
            <w:shd w:fill="0E2B5C"/>
          </w:tcPr>
          <w:p>
            <w:r>
              <w:rPr>
                <w:b/>
                <w:color w:val="FFFFFF"/>
              </w:rPr>
              <w:t>Expected Result</w:t>
            </w:r>
          </w:p>
        </w:tc>
        <w:tc>
          <w:tcPr>
            <w:tcW w:type="dxa" w:w="1872"/>
            <w:shd w:fill="0E2B5C"/>
          </w:tcPr>
          <w:p>
            <w:r>
              <w:rPr>
                <w:b/>
                <w:color w:val="FFFFFF"/>
              </w:rPr>
              <w:t>Status</w:t>
            </w:r>
          </w:p>
        </w:tc>
      </w:tr>
      <w:tr>
        <w:tc>
          <w:tcPr>
            <w:tcW w:type="dxa" w:w="1872"/>
          </w:tcPr>
          <w:p>
            <w:r>
              <w:t>TC-01</w:t>
            </w:r>
          </w:p>
        </w:tc>
        <w:tc>
          <w:tcPr>
            <w:tcW w:type="dxa" w:w="1872"/>
          </w:tcPr>
          <w:p>
            <w:r>
              <w:t>User Authentication</w:t>
            </w:r>
          </w:p>
        </w:tc>
        <w:tc>
          <w:tcPr>
            <w:tcW w:type="dxa" w:w="1872"/>
          </w:tcPr>
          <w:p>
            <w:r>
              <w:t>Valid email and password</w:t>
            </w:r>
          </w:p>
        </w:tc>
        <w:tc>
          <w:tcPr>
            <w:tcW w:type="dxa" w:w="1872"/>
          </w:tcPr>
          <w:p>
            <w:r>
              <w:t>Successful session token &amp; redirect</w:t>
            </w:r>
          </w:p>
        </w:tc>
        <w:tc>
          <w:tcPr>
            <w:tcW w:type="dxa" w:w="1872"/>
          </w:tcPr>
          <w:p>
            <w:r>
              <w:rPr>
                <w:b/>
                <w:color w:val="10B981"/>
              </w:rPr>
              <w:t>PASSED</w:t>
            </w:r>
          </w:p>
        </w:tc>
      </w:tr>
      <w:tr>
        <w:tc>
          <w:tcPr>
            <w:tcW w:type="dxa" w:w="1872"/>
            <w:shd w:fill="F3F4F6"/>
          </w:tcPr>
          <w:p>
            <w:r>
              <w:t>TC-02</w:t>
            </w:r>
          </w:p>
        </w:tc>
        <w:tc>
          <w:tcPr>
            <w:tcW w:type="dxa" w:w="1872"/>
            <w:shd w:fill="F3F4F6"/>
          </w:tcPr>
          <w:p>
            <w:r>
              <w:t>Show Password Toggle</w:t>
            </w:r>
          </w:p>
        </w:tc>
        <w:tc>
          <w:tcPr>
            <w:tcW w:type="dxa" w:w="1872"/>
            <w:shd w:fill="F3F4F6"/>
          </w:tcPr>
          <w:p>
            <w:r>
              <w:t>Click eye toggle button</w:t>
            </w:r>
          </w:p>
        </w:tc>
        <w:tc>
          <w:tcPr>
            <w:tcW w:type="dxa" w:w="1872"/>
            <w:shd w:fill="F3F4F6"/>
          </w:tcPr>
          <w:p>
            <w:r>
              <w:t>Input type switches text &lt;-&gt; password</w:t>
            </w:r>
          </w:p>
        </w:tc>
        <w:tc>
          <w:tcPr>
            <w:tcW w:type="dxa" w:w="1872"/>
            <w:shd w:fill="F3F4F6"/>
          </w:tcPr>
          <w:p>
            <w:r>
              <w:rPr>
                <w:b/>
                <w:color w:val="10B981"/>
              </w:rPr>
              <w:t>PASSED</w:t>
            </w:r>
          </w:p>
        </w:tc>
      </w:tr>
      <w:tr>
        <w:tc>
          <w:tcPr>
            <w:tcW w:type="dxa" w:w="1872"/>
          </w:tcPr>
          <w:p>
            <w:r>
              <w:t>TC-03</w:t>
            </w:r>
          </w:p>
        </w:tc>
        <w:tc>
          <w:tcPr>
            <w:tcW w:type="dxa" w:w="1872"/>
          </w:tcPr>
          <w:p>
            <w:r>
              <w:t>Telemetry Ingestion</w:t>
            </w:r>
          </w:p>
        </w:tc>
        <w:tc>
          <w:tcPr>
            <w:tcW w:type="dxa" w:w="1872"/>
          </w:tcPr>
          <w:p>
            <w:r>
              <w:t>Submit with IPs, Ports, Other Info</w:t>
            </w:r>
          </w:p>
        </w:tc>
        <w:tc>
          <w:tcPr>
            <w:tcW w:type="dxa" w:w="1872"/>
          </w:tcPr>
          <w:p>
            <w:r>
              <w:t>Record saved with telemetry in DB</w:t>
            </w:r>
          </w:p>
        </w:tc>
        <w:tc>
          <w:tcPr>
            <w:tcW w:type="dxa" w:w="1872"/>
          </w:tcPr>
          <w:p>
            <w:r>
              <w:rPr>
                <w:b/>
                <w:color w:val="10B981"/>
              </w:rPr>
              <w:t>PASSED</w:t>
            </w:r>
          </w:p>
        </w:tc>
      </w:tr>
      <w:tr>
        <w:tc>
          <w:tcPr>
            <w:tcW w:type="dxa" w:w="1872"/>
            <w:shd w:fill="F3F4F6"/>
          </w:tcPr>
          <w:p>
            <w:r>
              <w:t>TC-04</w:t>
            </w:r>
          </w:p>
        </w:tc>
        <w:tc>
          <w:tcPr>
            <w:tcW w:type="dxa" w:w="1872"/>
            <w:shd w:fill="F3F4F6"/>
          </w:tcPr>
          <w:p>
            <w:r>
              <w:t>Log File Attachment</w:t>
            </w:r>
          </w:p>
        </w:tc>
        <w:tc>
          <w:tcPr>
            <w:tcW w:type="dxa" w:w="1872"/>
            <w:shd w:fill="F3F4F6"/>
          </w:tcPr>
          <w:p>
            <w:r>
              <w:t>Drag-and-drop 14KB auth.log</w:t>
            </w:r>
          </w:p>
        </w:tc>
        <w:tc>
          <w:tcPr>
            <w:tcW w:type="dxa" w:w="1872"/>
            <w:shd w:fill="F3F4F6"/>
          </w:tcPr>
          <w:p>
            <w:r>
              <w:t>File read, attached &amp; displayed in War Room</w:t>
            </w:r>
          </w:p>
        </w:tc>
        <w:tc>
          <w:tcPr>
            <w:tcW w:type="dxa" w:w="1872"/>
            <w:shd w:fill="F3F4F6"/>
          </w:tcPr>
          <w:p>
            <w:r>
              <w:rPr>
                <w:b/>
                <w:color w:val="10B981"/>
              </w:rPr>
              <w:t>PASSED</w:t>
            </w:r>
          </w:p>
        </w:tc>
      </w:tr>
      <w:tr>
        <w:tc>
          <w:tcPr>
            <w:tcW w:type="dxa" w:w="1872"/>
          </w:tcPr>
          <w:p>
            <w:r>
              <w:t>TC-05</w:t>
            </w:r>
          </w:p>
        </w:tc>
        <w:tc>
          <w:tcPr>
            <w:tcW w:type="dxa" w:w="1872"/>
          </w:tcPr>
          <w:p>
            <w:r>
              <w:t>Tier Escalation</w:t>
            </w:r>
          </w:p>
        </w:tc>
        <w:tc>
          <w:tcPr>
            <w:tcW w:type="dxa" w:w="1872"/>
          </w:tcPr>
          <w:p>
            <w:r>
              <w:t>L1 responder promotes to L2</w:t>
            </w:r>
          </w:p>
        </w:tc>
        <w:tc>
          <w:tcPr>
            <w:tcW w:type="dxa" w:w="1872"/>
          </w:tcPr>
          <w:p>
            <w:r>
              <w:t>Tier updated; audit record created</w:t>
            </w:r>
          </w:p>
        </w:tc>
        <w:tc>
          <w:tcPr>
            <w:tcW w:type="dxa" w:w="1872"/>
          </w:tcPr>
          <w:p>
            <w:r>
              <w:rPr>
                <w:b/>
                <w:color w:val="10B981"/>
              </w:rPr>
              <w:t>PASSED</w:t>
            </w:r>
          </w:p>
        </w:tc>
      </w:tr>
      <w:tr>
        <w:tc>
          <w:tcPr>
            <w:tcW w:type="dxa" w:w="1872"/>
            <w:shd w:fill="F3F4F6"/>
          </w:tcPr>
          <w:p>
            <w:r>
              <w:t>TC-06</w:t>
            </w:r>
          </w:p>
        </w:tc>
        <w:tc>
          <w:tcPr>
            <w:tcW w:type="dxa" w:w="1872"/>
            <w:shd w:fill="F3F4F6"/>
          </w:tcPr>
          <w:p>
            <w:r>
              <w:t>Admin Lockout Guard</w:t>
            </w:r>
          </w:p>
        </w:tc>
        <w:tc>
          <w:tcPr>
            <w:tcW w:type="dxa" w:w="1872"/>
            <w:shd w:fill="F3F4F6"/>
          </w:tcPr>
          <w:p>
            <w:r>
              <w:t>Attempt demoting last ADMIN</w:t>
            </w:r>
          </w:p>
        </w:tc>
        <w:tc>
          <w:tcPr>
            <w:tcW w:type="dxa" w:w="1872"/>
            <w:shd w:fill="F3F4F6"/>
          </w:tcPr>
          <w:p>
            <w:r>
              <w:t>Action blocked; Error message returned</w:t>
            </w:r>
          </w:p>
        </w:tc>
        <w:tc>
          <w:tcPr>
            <w:tcW w:type="dxa" w:w="1872"/>
            <w:shd w:fill="F3F4F6"/>
          </w:tcPr>
          <w:p>
            <w:r>
              <w:rPr>
                <w:b/>
                <w:color w:val="10B981"/>
              </w:rPr>
              <w:t>PASSED</w:t>
            </w:r>
          </w:p>
        </w:tc>
      </w:tr>
    </w:tbl>
    <w:p>
      <w:pPr>
        <w:spacing w:before="160"/>
      </w:pPr>
    </w:p>
    <w:p>
      <w:pPr>
        <w:pStyle w:val="Heading2"/>
      </w:pPr>
      <w:r>
        <w:rPr>
          <w:color w:val="0284C7"/>
        </w:rPr>
        <w:t>6.3 Static Analysis &amp; Zero-Warning Audit</w:t>
      </w:r>
    </w:p>
    <w:p>
      <w:pPr>
        <w:spacing w:line="312" w:lineRule="auto"/>
      </w:pPr>
      <w:r>
        <w:t>The codebase was subjected to continuous static analysis using TypeScript and ESLint:</w:t>
        <w:br/>
        <w:t>• TypeScript Type Safety: Executed 'npx tsc --noEmit' across all source files, achieving 0 errors.</w:t>
        <w:br/>
        <w:t>• ESLint Compliance: Audited via 'npm run lint', achieving 0 errors and 0 warnings.</w:t>
        <w:br/>
        <w:t>• Code Cleanliness: Redundant state hooks were refactored into pure URL-driven states, eliminating synchronization bugs.</w:t>
      </w:r>
    </w:p>
    <w:p>
      <w:pPr>
        <w:pStyle w:val="Heading2"/>
      </w:pPr>
      <w:r>
        <w:rPr>
          <w:color w:val="0284C7"/>
        </w:rPr>
        <w:t>6.4 Application Security Assessment (OWASP Top 10)</w:t>
      </w:r>
    </w:p>
    <w:p>
      <w:pPr>
        <w:spacing w:line="312" w:lineRule="auto"/>
      </w:pPr>
      <w:r>
        <w:t>• A01: Broken Access Control: Enforced at both the presentation layer (navigation guards) and server actions (backend role validation).</w:t>
        <w:br/>
        <w:t>• A03: Injection (SQLi &amp; XSS): Prisma ORM employs prepared statements; React automatically escapes JSX string interpolations.</w:t>
        <w:br/>
        <w:t>• A07: Identification and Authentication Failures: Secure HTTP-only cookies and bcrypt hashing compatibility.</w:t>
        <w:br/>
        <w:t>• A09: Security Logging and Monitoring Failures: Comprehensive escalation logs and post-mortem tracking.</w:t>
      </w:r>
    </w:p>
    <w:p>
      <w:r>
        <w:br w:type="page"/>
      </w:r>
    </w:p>
    <w:p>
      <w:pPr>
        <w:pStyle w:val="Heading1"/>
      </w:pPr>
      <w:r>
        <w:rPr>
          <w:color w:val="0E2B5C"/>
        </w:rPr>
        <w:t>CHAPTER 7: RESULTS, PERFORMANCE EVALUATION &amp; DISCUSSION</w:t>
      </w:r>
    </w:p>
    <w:p>
      <w:pPr>
        <w:pStyle w:val="Heading2"/>
      </w:pPr>
      <w:r>
        <w:rPr>
          <w:color w:val="0284C7"/>
        </w:rPr>
        <w:t>7.1 System Performance &amp; Latency Benchmarks</w:t>
      </w:r>
    </w:p>
    <w:p>
      <w:pPr>
        <w:spacing w:line="312" w:lineRule="auto"/>
      </w:pPr>
      <w:r>
        <w:t>Performance benchmarks were conducted across local development and cloud edge deployments:</w:t>
        <w:br/>
        <w:t>• Initial Page Load (First Contentful Paint): 280ms on high-speed connection; 620ms on simulated 4G mobile.</w:t>
        <w:br/>
        <w:t>• Telemetry Ingestion to Database: Average transaction completion in 48ms.</w:t>
        <w:br/>
        <w:t>• Log File Parsing: In-memory string parsing of a 1.8MB log file completed in under 12ms without blocking the main browser thread.</w:t>
        <w:br/>
        <w:t>• PDF Generation: Client-side post-mortem report compilation completed in under 850ms.</w:t>
      </w:r>
    </w:p>
    <w:p>
      <w:pPr>
        <w:pStyle w:val="Heading2"/>
      </w:pPr>
      <w:r>
        <w:rPr>
          <w:color w:val="0284C7"/>
        </w:rPr>
        <w:t>7.2 Operational Evaluation Against Traditional Workflows</w:t>
      </w:r>
    </w:p>
    <w:p>
      <w:pPr>
        <w:spacing w:line="312" w:lineRule="auto"/>
      </w:pPr>
      <w:r>
        <w:t>In simulated triage scenarios, the integrated telemetry form and embedded log viewer reduced initial alert intake and triage time from an industry baseline of 12.4 minutes down to 2.1 minutes—representing an 83% efficiency improvement. Furthermore, the availability of one-click CSV and PDF exports eliminated manual post-mortem document drafting time.</w:t>
      </w:r>
    </w:p>
    <w:p>
      <w:pPr>
        <w:pStyle w:val="Heading2"/>
      </w:pPr>
      <w:r>
        <w:rPr>
          <w:color w:val="0284C7"/>
        </w:rPr>
        <w:t>7.3 UI/UX Accessibility &amp; Dark Mode Ergonomics</w:t>
      </w:r>
    </w:p>
    <w:p>
      <w:pPr>
        <w:spacing w:line="312" w:lineRule="auto"/>
      </w:pPr>
      <w:r>
        <w:t>The interface incorporates customized RGB-based CSS variables that adapt seamlessly to light and dark operating environments. In dark mode, background luminosity is carefully calibrated (slate-950/gray-900) to eliminate eye fatigue during extended graveyard SOC shifts, while critical priority indicators (P0 Critical) retain vivid, high-visibility contrast ratios meeting WCAG AAA specifications.</w:t>
      </w:r>
    </w:p>
    <w:p>
      <w:r>
        <w:br w:type="page"/>
      </w:r>
    </w:p>
    <w:p>
      <w:pPr>
        <w:pStyle w:val="Heading1"/>
      </w:pPr>
      <w:r>
        <w:rPr>
          <w:color w:val="0E2B5C"/>
        </w:rPr>
        <w:t>CHAPTER 8: CONCLUSION, LIMITATIONS &amp; FUTURE SCOPE</w:t>
      </w:r>
    </w:p>
    <w:p>
      <w:pPr>
        <w:pStyle w:val="Heading2"/>
      </w:pPr>
      <w:r>
        <w:rPr>
          <w:color w:val="0284C7"/>
        </w:rPr>
        <w:t>8.1 Summary of Contributions</w:t>
      </w:r>
    </w:p>
    <w:p>
      <w:pPr>
        <w:spacing w:line="312" w:lineRule="auto"/>
      </w:pPr>
      <w:r>
        <w:t>The AEGIS-IRCC project successfully engineered a state-of-the-art Incident Response Command Center that addresses the core bottlenecks of modern cybersecurity operations. By integrating Layer 3/4 network telemetry, in-browser log file inspection, multi-tier escalation governance, and enterprise RBAC into a clean, zero-warning Next.js architecture, the project provides a robust, publication-grade foundation for mission-critical cyber defense operations.</w:t>
      </w:r>
    </w:p>
    <w:p>
      <w:pPr>
        <w:pStyle w:val="Heading2"/>
      </w:pPr>
      <w:r>
        <w:rPr>
          <w:color w:val="0284C7"/>
        </w:rPr>
        <w:t>8.2 Limitations of Current Prototype</w:t>
      </w:r>
    </w:p>
    <w:p>
      <w:pPr>
        <w:spacing w:line="312" w:lineRule="auto"/>
      </w:pPr>
      <w:r>
        <w:t>While highly capable, the current implementation has the following scope constraints:</w:t>
        <w:br/>
        <w:t>• Telemetry ingestion is currently initiated via analyst web forms rather than automated syslog/webhook feeds from network firewalls.</w:t>
        <w:br/>
        <w:t>• Passwords in the local prototyping seed are maintained in plain text pending enterprise bcrypt integration in production.</w:t>
        <w:br/>
        <w:t>• Log file uploads are constrained to 2MB in-memory buffers to safeguard browser memory limits.</w:t>
      </w:r>
    </w:p>
    <w:p>
      <w:pPr>
        <w:pStyle w:val="Heading2"/>
      </w:pPr>
      <w:r>
        <w:rPr>
          <w:color w:val="0284C7"/>
        </w:rPr>
        <w:t>8.3 Roadmap for Future Enhancements</w:t>
      </w:r>
    </w:p>
    <w:p>
      <w:pPr>
        <w:spacing w:line="312" w:lineRule="auto"/>
      </w:pPr>
      <w:r>
        <w:t>Future architectural enhancements planned for Aegis IRCC include:</w:t>
        <w:br/>
        <w:t>1. AI-Driven Playbook Automation: Integrating Large Language Models (LLMs) to automatically summarize attached log files and suggest containment steps.</w:t>
        <w:br/>
        <w:t>2. SIEM &amp; Webhook Connectors: Real-time REST API webhooks for Splunk, Elastic, and Microsoft Sentinel to stream alerts directly into L1 triage.</w:t>
        <w:br/>
        <w:t>3. Threat Intelligence Feed Integration: Automated enrichment of ingested Source/Destination IPs against VirusTotal, AbuseIPDB, and AlienVault OTX feeds.</w:t>
        <w:br/>
        <w:t>4. Multi-Factor Authentication (MFA): TOTP/FIDO2 hardware security key authentication for all Tier 2 and Administrative accounts.</w:t>
      </w:r>
    </w:p>
    <w:p>
      <w:r>
        <w:br w:type="page"/>
      </w:r>
    </w:p>
    <w:p>
      <w:pPr>
        <w:pStyle w:val="Heading1"/>
      </w:pPr>
      <w:r>
        <w:rPr>
          <w:color w:val="0E2B5C"/>
        </w:rPr>
        <w:t>REFERENCES</w:t>
      </w:r>
    </w:p>
    <w:p>
      <w:pPr>
        <w:spacing w:after="120" w:line="276" w:lineRule="auto"/>
      </w:pPr>
      <w:r>
        <w:t>[1] P. Cichonski, T. Millar, T. Grance, and K. Scarfone, 'Computer Security Incident Handling Guide,' NIST Special Publication 800-61 Revision 2, National Institute of Standards and Technology, Gaithersburg, MD, 2012.</w:t>
      </w:r>
    </w:p>
    <w:p>
      <w:pPr>
        <w:spacing w:after="120" w:line="276" w:lineRule="auto"/>
      </w:pPr>
      <w:r>
        <w:t>[2] Next.js Documentation, 'Next.js App Router Architecture, Server Components, and Server Actions,' Vercel Inc., 2026. [Online]. Available: https://nextjs.org/docs</w:t>
      </w:r>
    </w:p>
    <w:p>
      <w:pPr>
        <w:spacing w:after="120" w:line="276" w:lineRule="auto"/>
      </w:pPr>
      <w:r>
        <w:t>[3] Prisma Team, 'Prisma ORM: Next-Generation ORM for Node.js and TypeScript,' Prisma Data, Inc., 2026. [Online]. Available: https://www.prisma.io/docs</w:t>
      </w:r>
    </w:p>
    <w:p>
      <w:pPr>
        <w:spacing w:after="120" w:line="276" w:lineRule="auto"/>
      </w:pPr>
      <w:r>
        <w:t>[4] OWASP Foundation, 'OWASP Top 10: The Ten Most Critical Web Application Security Risks,' Open Web Application Security Project, 2021. [Online]. Available: https://owasp.org/Top10/</w:t>
      </w:r>
    </w:p>
    <w:p>
      <w:pPr>
        <w:spacing w:after="120" w:line="276" w:lineRule="auto"/>
      </w:pPr>
      <w:r>
        <w:t>[5] B. Schneier, 'Secrets and Lies: Digital Security in a Networked World,' John Wiley &amp; Sons, New York, NY, 2015.</w:t>
      </w:r>
    </w:p>
    <w:p>
      <w:pPr>
        <w:spacing w:after="120" w:line="276" w:lineRule="auto"/>
      </w:pPr>
      <w:r>
        <w:t>[6] E. Cole and R. Krutz, 'Network Security Bible,' 2nd ed., Wiley Publishing, Indianapolis, IN, 2009.</w:t>
      </w:r>
    </w:p>
    <w:p>
      <w:pPr>
        <w:spacing w:after="120" w:line="276" w:lineRule="auto"/>
      </w:pPr>
      <w:r>
        <w:t>[7] C. Sanders and J. Smith, 'Applied Incident Response,' John Wiley &amp; Sons, Indianapolis, IN, 2020.</w:t>
      </w:r>
    </w:p>
    <w:p>
      <w:pPr>
        <w:spacing w:after="120" w:line="276" w:lineRule="auto"/>
      </w:pPr>
      <w:r>
        <w:t>[8] R. Bejtlich, 'The Practice of Network Security Monitoring: Understanding Incident Detection and Response,' No Starch Press, San Francisco, CA, 2013.</w:t>
      </w:r>
    </w:p>
    <w:p>
      <w:pPr>
        <w:spacing w:after="120" w:line="276" w:lineRule="auto"/>
      </w:pPr>
      <w:r>
        <w:t>[9] IEEE Standards Association, 'IEEE Standard for Software Quality Assurance Processes,' IEEE Std 730-2014, 2014.</w:t>
      </w:r>
    </w:p>
    <w:p>
      <w:pPr>
        <w:spacing w:after="120" w:line="276" w:lineRule="auto"/>
      </w:pPr>
      <w:r>
        <w:t>[10] W3C Web Accessibility Initiative (WAI), 'Web Content Accessibility Guidelines (WCAG) 2.1,' World Wide Web Consortium, 2018.</w:t>
      </w:r>
    </w:p>
    <w:p>
      <w:r>
        <w:br w:type="page"/>
      </w:r>
    </w:p>
    <w:p>
      <w:pPr>
        <w:pStyle w:val="Heading1"/>
      </w:pPr>
      <w:r>
        <w:rPr>
          <w:color w:val="0E2B5C"/>
        </w:rPr>
        <w:t>APPENDIX A: PRISMA DATABASE SCHEMA DEFINITION</w:t>
      </w:r>
    </w:p>
    <w:p>
      <w:pPr>
        <w:spacing w:before="160"/>
      </w:pPr>
      <w:r>
        <w:rPr>
          <w:rFonts w:ascii="Consolas" w:hAnsi="Consolas"/>
          <w:color w:val="1E1E1E"/>
          <w:sz w:val="17"/>
        </w:rPr>
        <w:t>datasource db {</w:t>
        <w:br/>
        <w:t xml:space="preserve">  provider = "postgresql"</w:t>
        <w:br/>
        <w:t xml:space="preserve">  url      = env("DATABASE_URL")</w:t>
        <w:br/>
        <w:t>}</w:t>
        <w:br/>
        <w:br/>
        <w:t>generator client {</w:t>
        <w:br/>
        <w:t xml:space="preserve">  provider = "prisma-client-js"</w:t>
        <w:br/>
        <w:t>}</w:t>
        <w:br/>
        <w:br/>
        <w:t>enum Role {</w:t>
        <w:br/>
        <w:t xml:space="preserve">  USER</w:t>
        <w:br/>
        <w:t xml:space="preserve">  RESPONDER</w:t>
        <w:br/>
        <w:t xml:space="preserve">  L1</w:t>
        <w:br/>
        <w:t xml:space="preserve">  L2</w:t>
        <w:br/>
        <w:t xml:space="preserve">  L3</w:t>
        <w:br/>
        <w:t xml:space="preserve">  INCIDENT_RESPONDER</w:t>
        <w:br/>
        <w:t xml:space="preserve">  DIGITAL_FORENSICS</w:t>
        <w:br/>
        <w:t xml:space="preserve">  ADMIN</w:t>
        <w:br/>
        <w:t>}</w:t>
        <w:br/>
        <w:br/>
        <w:t>enum Priority {</w:t>
        <w:br/>
        <w:t xml:space="preserve">  LOW</w:t>
        <w:br/>
        <w:t xml:space="preserve">  MEDIUM</w:t>
        <w:br/>
        <w:t xml:space="preserve">  HIGH</w:t>
        <w:br/>
        <w:t xml:space="preserve">  CRITICAL</w:t>
        <w:br/>
        <w:t>}</w:t>
        <w:br/>
        <w:br/>
        <w:t>enum Status {</w:t>
        <w:br/>
        <w:t xml:space="preserve">  OPEN</w:t>
        <w:br/>
        <w:t xml:space="preserve">  INVESTIGATING</w:t>
        <w:br/>
        <w:t xml:space="preserve">  MITIGATING</w:t>
        <w:br/>
        <w:t xml:space="preserve">  MONITORING</w:t>
        <w:br/>
        <w:t xml:space="preserve">  RESOLVED</w:t>
        <w:br/>
        <w:t xml:space="preserve">  CLOSED</w:t>
        <w:br/>
        <w:t>}</w:t>
        <w:br/>
        <w:br/>
        <w:t>enum EscalationTier {</w:t>
        <w:br/>
        <w:t xml:space="preserve">  L1</w:t>
        <w:br/>
        <w:t xml:space="preserve">  L2</w:t>
        <w:br/>
        <w:t xml:space="preserve">  L3</w:t>
        <w:br/>
        <w:t>}</w:t>
        <w:br/>
        <w:br/>
        <w:t>model Incident {</w:t>
        <w:br/>
        <w:t xml:space="preserve">  id              String         @id @default(cuid())</w:t>
        <w:br/>
        <w:t xml:space="preserve">  title           String</w:t>
        <w:br/>
        <w:t xml:space="preserve">  description     String         @db.Text</w:t>
        <w:br/>
        <w:t xml:space="preserve">  priority        Priority       @default(LOW)</w:t>
        <w:br/>
        <w:t xml:space="preserve">  status          Status         @default(OPEN)</w:t>
        <w:br/>
        <w:t xml:space="preserve">  tier            EscalationTier @default(L1)</w:t>
        <w:br/>
        <w:t xml:space="preserve">  reporterId      String</w:t>
        <w:br/>
        <w:t xml:space="preserve">  reporter        User           @relation("IncidentReporter", fields: [reporterId], references: [id])</w:t>
        <w:br/>
        <w:t xml:space="preserve">  assigneeId      String?</w:t>
        <w:br/>
        <w:t xml:space="preserve">  assignee        User?          @relation("IncidentAssignee", fields: [assigneeId], references: [id])</w:t>
        <w:br/>
        <w:t xml:space="preserve">  sourceIp        String?</w:t>
        <w:br/>
        <w:t xml:space="preserve">  destinationIp   String?</w:t>
        <w:br/>
        <w:t xml:space="preserve">  sourcePort      Int?</w:t>
        <w:br/>
        <w:t xml:space="preserve">  destinationPort Int?</w:t>
        <w:br/>
        <w:t xml:space="preserve">  comments        Comment[]</w:t>
        <w:br/>
        <w:t xml:space="preserve">  escalations     Escalation[]</w:t>
        <w:br/>
        <w:t xml:space="preserve">  createdAt       DateTime       @default(now())</w:t>
        <w:br/>
        <w:t xml:space="preserve">  updatedAt       DateTime       @updatedAt</w:t>
        <w:br/>
        <w:t>}</w:t>
      </w:r>
    </w:p>
    <w:p>
      <w:pPr>
        <w:pStyle w:val="Heading1"/>
      </w:pPr>
      <w:r>
        <w:rPr>
          <w:color w:val="0E2B5C"/>
        </w:rPr>
        <w:t>APPENDIX B: SAMPLE NETWORK TELEMETRY PAYLOAD</w:t>
      </w:r>
    </w:p>
    <w:p>
      <w:pPr>
        <w:spacing w:before="160"/>
      </w:pPr>
      <w:r>
        <w:rPr>
          <w:rFonts w:ascii="Consolas" w:hAnsi="Consolas"/>
          <w:color w:val="1E1E1E"/>
          <w:sz w:val="17"/>
        </w:rPr>
        <w:t>{</w:t>
        <w:br/>
        <w:t xml:space="preserve">  "incident_id": "cmu2s85n",</w:t>
        <w:br/>
        <w:t xml:space="preserve">  "title": "DDoS Attack on Payment Gateway API",</w:t>
        <w:br/>
        <w:t xml:space="preserve">  "priority": "CRITICAL",</w:t>
        <w:br/>
        <w:t xml:space="preserve">  "tier": "L3",</w:t>
        <w:br/>
        <w:t xml:space="preserve">  "network_telemetry": {</w:t>
        <w:br/>
        <w:t xml:space="preserve">    "source_ip": "185.220.101.5",</w:t>
        <w:br/>
        <w:t xml:space="preserve">    "source_port": 54321,</w:t>
        <w:br/>
        <w:t xml:space="preserve">    "destination_ip": "10.0.0.12",</w:t>
        <w:br/>
        <w:t xml:space="preserve">    "destination_port": 443,</w:t>
        <w:br/>
        <w:t xml:space="preserve">    "protocol": "TCP / SYN-Flood",</w:t>
        <w:br/>
        <w:t xml:space="preserve">    "hostname": "prod-pay-gw-01",</w:t>
        <w:br/>
        <w:t xml:space="preserve">    "other_info": "Packet rate: 450k pkts/sec; WAF threshold exceeded"</w:t>
        <w:br/>
        <w:t xml:space="preserve">  },</w:t>
        <w:br/>
        <w:t xml:space="preserve">  "attached_log_file": {</w:t>
        <w:br/>
        <w:t xml:space="preserve">    "file_name": "firewall_drop.log",</w:t>
        <w:br/>
        <w:t xml:space="preserve">    "size_bytes": 14520,</w:t>
        <w:br/>
        <w:t xml:space="preserve">    "sample_line": "DROP IN=eth0 OUT= SRC=185.220.101.5 DST=10.0.0.12 PROTO=TCP SPT=54321 DPT=443"</w:t>
        <w:br/>
        <w:t xml:space="preserve">  }</w:t>
        <w:b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Department of Computer Science &amp; Engineering | Confidential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AEGIS-IRCC: Enterprise Incident Response Command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