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a56s3d4xe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Review Questionnaire for Cloud Service Provider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have a documented Information Security Policy?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Multi-Factor Authentication (MFA) required for all access to the platform?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customer data and credentials encrypted at rest and in transit?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conduct regular vulnerability assessments and penetration testing?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security patches and updates applied promptly to all systems?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a dedicated Security Operations Center (SOC) monitoring the environment 24/7?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have a formal incident response plan in place, and is it regularly tested?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user access rights reviewed and updated regularly?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data backup and recovery testing performed regularly?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comply with industry standards (e.g., ISO 27001, SOC 2, PCI DSS)?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logs retained and monitored for security incidents and anomalies?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personnel subjected to background checks and security training?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have measures in place to detect and prevent malware and ransomware?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there a secure process for onboarding and offboarding users?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network connections protected by firewalls and intrusion detection systems?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controls in place to prevent data exfiltration?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offer role-based access control (RBAC) to restrict user permissions?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secure software development practices, like Secure SDLC, implemented?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the provider use zero-trust architecture principles for access control?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the provider's infrastructure monitored for configuration drift and compliance violations?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