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Временный доступ подрядчику</w:t>
      </w:r>
    </w:p>
    <w:p>
      <w:r>
        <w:t>Укажите организацию, владельца договора, систему и точную дату окончания. Временная роль должна автоматически отключиться после завершения работ.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«access»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