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D4F" w14:textId="02E32DA6" w:rsidR="00F464B0" w:rsidRDefault="00CF41EF" w:rsidP="00F47D97">
      <w:pPr>
        <w:spacing w:after="240"/>
        <w:rPr>
          <w:b/>
          <w:bCs/>
        </w:rPr>
      </w:pPr>
      <w:r>
        <w:rPr>
          <w:b/>
          <w:bCs/>
        </w:rPr>
        <w:t>Introduction</w:t>
      </w:r>
    </w:p>
    <w:p w14:paraId="4190EA83" w14:textId="3D508811" w:rsidR="00961F32" w:rsidRPr="00961F32" w:rsidRDefault="00961F32" w:rsidP="00F47D97">
      <w:pPr>
        <w:spacing w:after="240" w:line="360" w:lineRule="auto"/>
        <w:jc w:val="both"/>
      </w:pPr>
      <w:r w:rsidRPr="00961F32">
        <w:t xml:space="preserve">The </w:t>
      </w:r>
      <w:r w:rsidR="000427E8">
        <w:t xml:space="preserve">Internet of Things </w:t>
      </w:r>
      <w:r w:rsidRPr="00961F32">
        <w:t xml:space="preserve">Implementation </w:t>
      </w:r>
      <w:r w:rsidR="000427E8">
        <w:t>(TC</w:t>
      </w:r>
      <w:r w:rsidR="00182186">
        <w:t xml:space="preserve">1004B) </w:t>
      </w:r>
      <w:r w:rsidRPr="00961F32">
        <w:t xml:space="preserve">is a course </w:t>
      </w:r>
      <w:r w:rsidR="00B162AB">
        <w:t>from Tecnológico de Monterrey</w:t>
      </w:r>
      <w:r w:rsidR="0055381B">
        <w:rPr>
          <w:rStyle w:val="FootnoteReference"/>
        </w:rPr>
        <w:footnoteReference w:id="1"/>
      </w:r>
      <w:r w:rsidR="00B162AB">
        <w:t xml:space="preserve"> </w:t>
      </w:r>
      <w:r w:rsidR="00182186">
        <w:t xml:space="preserve">based on </w:t>
      </w:r>
      <w:r w:rsidRPr="00961F32">
        <w:t xml:space="preserve">the TEC21 </w:t>
      </w:r>
      <w:r w:rsidR="002626EA">
        <w:t>model</w:t>
      </w:r>
      <w:r w:rsidR="0055381B">
        <w:rPr>
          <w:rStyle w:val="FootnoteReference"/>
        </w:rPr>
        <w:footnoteReference w:id="2"/>
      </w:r>
      <w:r w:rsidR="00F0221E">
        <w:t xml:space="preserve">. </w:t>
      </w:r>
      <w:r w:rsidR="002641C2">
        <w:t>It aims</w:t>
      </w:r>
      <w:r w:rsidR="00612D9A" w:rsidRPr="00612D9A">
        <w:t xml:space="preserve"> to introduce the main IoT foundations</w:t>
      </w:r>
      <w:r w:rsidR="00BC03EC">
        <w:t xml:space="preserve">. For ten weeks, </w:t>
      </w:r>
      <w:r w:rsidR="00612D9A" w:rsidRPr="00612D9A">
        <w:t xml:space="preserve">students design and implement a digital system prototype that </w:t>
      </w:r>
      <w:r w:rsidR="002641C2" w:rsidRPr="00612D9A">
        <w:t>can obtain</w:t>
      </w:r>
      <w:r w:rsidR="00612D9A" w:rsidRPr="00612D9A">
        <w:t xml:space="preserve"> data through sensors, </w:t>
      </w:r>
      <w:r w:rsidR="00F0221E">
        <w:t>process</w:t>
      </w:r>
      <w:r w:rsidR="00612D9A" w:rsidRPr="00612D9A">
        <w:t xml:space="preserve"> their information, and </w:t>
      </w:r>
      <w:r w:rsidR="00F0221E">
        <w:t>present</w:t>
      </w:r>
      <w:r w:rsidR="00612D9A" w:rsidRPr="00612D9A">
        <w:t xml:space="preserve"> them on an internet platform for later analysis and visualization.</w:t>
      </w:r>
      <w:r w:rsidRPr="00961F32">
        <w:t xml:space="preserve"> During </w:t>
      </w:r>
      <w:r w:rsidR="00CD25D6">
        <w:t>this</w:t>
      </w:r>
      <w:r w:rsidRPr="00961F32">
        <w:t xml:space="preserve"> period, students will achieve the following skills:</w:t>
      </w:r>
    </w:p>
    <w:p w14:paraId="6F818C0A" w14:textId="4F78C95B" w:rsidR="00961F32" w:rsidRPr="00961F32" w:rsidRDefault="00961F32" w:rsidP="00F47D97">
      <w:pPr>
        <w:pStyle w:val="ListParagraph"/>
        <w:numPr>
          <w:ilvl w:val="0"/>
          <w:numId w:val="3"/>
        </w:numPr>
        <w:spacing w:after="240" w:line="360" w:lineRule="auto"/>
        <w:jc w:val="both"/>
      </w:pPr>
      <w:r w:rsidRPr="00961F32">
        <w:t>Elaboration and development of digital systems.</w:t>
      </w:r>
    </w:p>
    <w:p w14:paraId="57E63D6A" w14:textId="03CBF4C3" w:rsidR="00961F32" w:rsidRPr="00961F32" w:rsidRDefault="00961F32" w:rsidP="00F47D97">
      <w:pPr>
        <w:pStyle w:val="ListParagraph"/>
        <w:numPr>
          <w:ilvl w:val="0"/>
          <w:numId w:val="3"/>
        </w:numPr>
        <w:spacing w:after="240" w:line="360" w:lineRule="auto"/>
        <w:jc w:val="both"/>
      </w:pPr>
      <w:r w:rsidRPr="00961F32">
        <w:t>Analysis, design, and development of databases.</w:t>
      </w:r>
    </w:p>
    <w:p w14:paraId="36CEE6FF" w14:textId="3D479295" w:rsidR="00961F32" w:rsidRPr="00961F32" w:rsidRDefault="00961F32" w:rsidP="00F47D97">
      <w:pPr>
        <w:pStyle w:val="ListParagraph"/>
        <w:numPr>
          <w:ilvl w:val="0"/>
          <w:numId w:val="3"/>
        </w:numPr>
        <w:spacing w:after="240" w:line="360" w:lineRule="auto"/>
        <w:jc w:val="both"/>
      </w:pPr>
      <w:r w:rsidRPr="00961F32">
        <w:t>Resource management of a computer system through the efficient use of resources.</w:t>
      </w:r>
    </w:p>
    <w:p w14:paraId="3A809629" w14:textId="19ADF94B" w:rsidR="00961F32" w:rsidRPr="00961F32" w:rsidRDefault="00961F32" w:rsidP="00F47D97">
      <w:pPr>
        <w:pStyle w:val="ListParagraph"/>
        <w:numPr>
          <w:ilvl w:val="0"/>
          <w:numId w:val="3"/>
        </w:numPr>
        <w:spacing w:after="240" w:line="360" w:lineRule="auto"/>
        <w:jc w:val="both"/>
      </w:pPr>
      <w:r w:rsidRPr="00961F32">
        <w:t>Introduction to Interactive Design.</w:t>
      </w:r>
    </w:p>
    <w:p w14:paraId="720D6E58" w14:textId="08D64E31" w:rsidR="00961F32" w:rsidRPr="00961F32" w:rsidRDefault="00961F32" w:rsidP="00F47D97">
      <w:pPr>
        <w:pStyle w:val="ListParagraph"/>
        <w:numPr>
          <w:ilvl w:val="0"/>
          <w:numId w:val="3"/>
        </w:numPr>
        <w:spacing w:after="240" w:line="360" w:lineRule="auto"/>
        <w:jc w:val="both"/>
      </w:pPr>
      <w:r w:rsidRPr="00961F32">
        <w:t>Processes and project management.</w:t>
      </w:r>
    </w:p>
    <w:p w14:paraId="084F22CE" w14:textId="655C5E1E" w:rsidR="00961F32" w:rsidRPr="00961F32" w:rsidRDefault="00961F32" w:rsidP="00F47D97">
      <w:pPr>
        <w:pStyle w:val="ListParagraph"/>
        <w:numPr>
          <w:ilvl w:val="0"/>
          <w:numId w:val="3"/>
        </w:numPr>
        <w:spacing w:after="240" w:line="360" w:lineRule="auto"/>
        <w:jc w:val="both"/>
      </w:pPr>
      <w:r w:rsidRPr="00961F32">
        <w:t>Analysis, design, and development of IoT systems.</w:t>
      </w:r>
    </w:p>
    <w:p w14:paraId="5EF6DDA0" w14:textId="77777777" w:rsidR="00961F32" w:rsidRPr="00961F32" w:rsidRDefault="00961F32" w:rsidP="00F47D97">
      <w:pPr>
        <w:spacing w:after="240" w:line="360" w:lineRule="auto"/>
        <w:jc w:val="both"/>
      </w:pPr>
      <w:r w:rsidRPr="00961F32">
        <w:t>The course has six modules: Digital Systems, Database Design and Analysis, Resource Management of a Computer System; Introduction to Interactive Design; Project Management and Processes, and Internet of Things.</w:t>
      </w:r>
    </w:p>
    <w:p w14:paraId="3FA12415" w14:textId="5DCD8E43" w:rsidR="00961F32" w:rsidRPr="00961F32" w:rsidRDefault="00961F32" w:rsidP="00F47D97">
      <w:pPr>
        <w:spacing w:after="240" w:line="360" w:lineRule="auto"/>
        <w:jc w:val="both"/>
      </w:pPr>
      <w:r w:rsidRPr="00961F32">
        <w:t>This year the course will be performed inside the Global Shared Learning Classroom</w:t>
      </w:r>
      <w:r w:rsidR="00F666E6">
        <w:rPr>
          <w:rStyle w:val="FootnoteReference"/>
        </w:rPr>
        <w:footnoteReference w:id="3"/>
      </w:r>
      <w:r w:rsidRPr="00961F32">
        <w:t xml:space="preserve"> program, an initiative of the Vice Rectory for International Affairs that promotes collaboration between students, professors, and international universities in a digital environment and with the use of technological tools. Global Shared Learning (GSL) is an opportunity to generate international experiences with meaningful learning.</w:t>
      </w:r>
    </w:p>
    <w:p w14:paraId="23F2151E" w14:textId="3EE511D4" w:rsidR="00961F32" w:rsidRDefault="00961F32" w:rsidP="00F47D97">
      <w:pPr>
        <w:spacing w:after="240" w:line="360" w:lineRule="auto"/>
        <w:jc w:val="both"/>
      </w:pPr>
      <w:r w:rsidRPr="00961F32">
        <w:t>The partner university is the Instituto Tecnológico de Aeronáutica</w:t>
      </w:r>
      <w:r w:rsidR="00436C4B">
        <w:rPr>
          <w:rStyle w:val="FootnoteReference"/>
        </w:rPr>
        <w:footnoteReference w:id="4"/>
      </w:r>
      <w:r w:rsidRPr="00961F32">
        <w:t>, which is a public university institution linked to the Air Force Command and is in São José dos Campos (São Paulo). ITA was created in 1950 and is considered a reference center in engineering education in Brazil. It was inspired by MIT (Massachusetts Institute of Technology) in the United States. It was the embryo of companies such as Embraer, IACIT, and Avibras, which developed aircraft, advanced defense, and air traffic systems for governments worldwide.</w:t>
      </w:r>
    </w:p>
    <w:p w14:paraId="074B06D5" w14:textId="689580C1" w:rsidR="00C611D6" w:rsidRDefault="00C611D6" w:rsidP="00F47D97">
      <w:pPr>
        <w:spacing w:after="240" w:line="360" w:lineRule="auto"/>
        <w:jc w:val="both"/>
      </w:pPr>
      <w:r w:rsidRPr="00C611D6">
        <w:lastRenderedPageBreak/>
        <w:t xml:space="preserve">The collaboration focuses on developing the student’s sense of cooperation needed to solve a complex problem through a multicultural partnership. The implementation of GSL will happen in the </w:t>
      </w:r>
      <w:r w:rsidR="00D21DF7">
        <w:t>performance</w:t>
      </w:r>
      <w:r w:rsidRPr="00C611D6">
        <w:t xml:space="preserve"> of </w:t>
      </w:r>
      <w:r>
        <w:t xml:space="preserve">the </w:t>
      </w:r>
      <w:r w:rsidRPr="00C611D6">
        <w:t xml:space="preserve">TC1004B “reto” project during the second part of the course (weeks 13 to 17). The selected scenario is a </w:t>
      </w:r>
      <w:r>
        <w:t>disaster</w:t>
      </w:r>
      <w:r w:rsidRPr="00C611D6">
        <w:t xml:space="preserve"> situation (ex.: </w:t>
      </w:r>
      <w:r w:rsidR="00D21DF7">
        <w:t xml:space="preserve">an </w:t>
      </w:r>
      <w:r w:rsidRPr="00C611D6">
        <w:t>earthquake in Mexico and flooding in Brazil), a prevalent worldwide problem. In this scenario, you do not have telecommunication channels or any previous Command and Control (C2) system to provide rescue teams with essential communication (voice and data), planning, and execution services. Consequently, it is required to use the means existent in the community and by volunteers, for example, the use of drones to improve communication and support the identification of hazards.</w:t>
      </w:r>
    </w:p>
    <w:p w14:paraId="45767B4B" w14:textId="0F1A841D" w:rsidR="007634AD" w:rsidRDefault="007634AD" w:rsidP="00F47D97">
      <w:pPr>
        <w:spacing w:after="240" w:line="360" w:lineRule="auto"/>
        <w:jc w:val="both"/>
      </w:pPr>
      <w:r w:rsidRPr="00961F32">
        <w:t>The sustainable development goal is the “Industry, Innovation, and Infrastructure” and “Sustainable Cities and Communities,” where the group will work to build a resilient infrastructure when there is a natural hazard.</w:t>
      </w:r>
    </w:p>
    <w:p w14:paraId="793861DD" w14:textId="7EE6417A" w:rsidR="00BC03EC" w:rsidRDefault="00F47D97" w:rsidP="007634AD">
      <w:pPr>
        <w:spacing w:line="360" w:lineRule="auto"/>
        <w:jc w:val="both"/>
        <w:rPr>
          <w:b/>
          <w:bCs/>
        </w:rPr>
      </w:pPr>
      <w:r w:rsidRPr="00F47D97">
        <w:rPr>
          <w:b/>
          <w:bCs/>
        </w:rPr>
        <w:t>Scenario Description</w:t>
      </w:r>
    </w:p>
    <w:p w14:paraId="388FA777" w14:textId="5D5EE20D" w:rsidR="00F47D97" w:rsidRDefault="001839B3" w:rsidP="001839B3">
      <w:pPr>
        <w:spacing w:line="360" w:lineRule="auto"/>
        <w:jc w:val="both"/>
      </w:pPr>
      <w:r>
        <w:t xml:space="preserve">Every year, disasters and crises </w:t>
      </w:r>
      <w:r w:rsidR="00D01618">
        <w:t>devastate</w:t>
      </w:r>
      <w:r>
        <w:t xml:space="preserve"> people, communities, and entire societies </w:t>
      </w:r>
      <w:r w:rsidR="00D01618">
        <w:t>worldwide</w:t>
      </w:r>
      <w:r>
        <w:t xml:space="preserve">. Worryingly, they are predicted to become more common in the future. </w:t>
      </w:r>
      <w:r w:rsidR="00AB3CB9" w:rsidRPr="00AB3CB9">
        <w:t xml:space="preserve">Disasters can occur naturally (e.g., tornadoes, hurricanes, earthquakes, floods, wildfires, mudslides, or drought) or be </w:t>
      </w:r>
      <w:proofErr w:type="gramStart"/>
      <w:r w:rsidR="00E646B2">
        <w:t>human-caused</w:t>
      </w:r>
      <w:proofErr w:type="gramEnd"/>
      <w:r w:rsidR="00AB3CB9" w:rsidRPr="00AB3CB9">
        <w:t xml:space="preserve"> (e.g., mass shootings, chemical spills, or terrorist attacks). Preparing for, responding to, and recovering from disasters and traumatic events is essential to </w:t>
      </w:r>
      <w:r w:rsidR="00D01618">
        <w:t>individuals’</w:t>
      </w:r>
      <w:r w:rsidR="00D01618" w:rsidRPr="00D01618">
        <w:t xml:space="preserve"> and communities' behavioral health</w:t>
      </w:r>
      <w:r w:rsidR="00AB3CB9" w:rsidRPr="00AB3CB9">
        <w:t>.</w:t>
      </w:r>
      <w:r w:rsidR="007353A7">
        <w:t xml:space="preserve"> </w:t>
      </w:r>
    </w:p>
    <w:p w14:paraId="3E48AC4B" w14:textId="1F4C5DF2" w:rsidR="007353A7" w:rsidRDefault="007353A7" w:rsidP="001839B3">
      <w:pPr>
        <w:spacing w:line="360" w:lineRule="auto"/>
        <w:jc w:val="both"/>
      </w:pPr>
      <w:r w:rsidRPr="007353A7">
        <w:t xml:space="preserve">When people experience a disaster, they may experience a variety of reactions, many of which are natural responses to </w:t>
      </w:r>
      <w:r w:rsidR="00D01618">
        <w:t>challenging</w:t>
      </w:r>
      <w:r w:rsidRPr="007353A7">
        <w:t xml:space="preserve"> situations. Most people show resilience after a disaster. Resilience is the ability to bounce back, cope with adversity, and endure </w:t>
      </w:r>
      <w:r w:rsidR="00D01618">
        <w:t>demanding</w:t>
      </w:r>
      <w:r w:rsidRPr="007353A7">
        <w:t xml:space="preserve"> </w:t>
      </w:r>
      <w:r w:rsidR="00D01618">
        <w:t>conditions</w:t>
      </w:r>
      <w:r w:rsidRPr="007353A7">
        <w:t xml:space="preserve">. Thankfully, resilience in disaster recovery is ordinary, not extraordinary, and people regularly demonstrate this ability. </w:t>
      </w:r>
      <w:r w:rsidR="00D01618">
        <w:t>Supportive</w:t>
      </w:r>
      <w:r w:rsidRPr="007353A7">
        <w:t xml:space="preserve"> resources to address stress and other hardships </w:t>
      </w:r>
      <w:r w:rsidR="00D01618">
        <w:t>are</w:t>
      </w:r>
      <w:r w:rsidRPr="007353A7">
        <w:t xml:space="preserve"> a critical component of resilience.</w:t>
      </w:r>
    </w:p>
    <w:p w14:paraId="7F83122D" w14:textId="4EE13254" w:rsidR="003E2979" w:rsidRDefault="005D61DC" w:rsidP="003E2979">
      <w:pPr>
        <w:spacing w:line="360" w:lineRule="auto"/>
        <w:jc w:val="both"/>
        <w:rPr>
          <w:rFonts w:cstheme="minorHAnsi"/>
        </w:rPr>
      </w:pPr>
      <w:r w:rsidRPr="00A9765D">
        <w:rPr>
          <w:rFonts w:cstheme="minorHAnsi"/>
        </w:rPr>
        <w:t xml:space="preserve">Like war, disasters are also much unstructured in scope. No one can predict </w:t>
      </w:r>
      <w:r w:rsidR="003A27FA">
        <w:rPr>
          <w:rFonts w:cstheme="minorHAnsi"/>
        </w:rPr>
        <w:t>the</w:t>
      </w:r>
      <w:r w:rsidRPr="00A9765D">
        <w:rPr>
          <w:rFonts w:cstheme="minorHAnsi"/>
        </w:rPr>
        <w:t xml:space="preserve"> exact time and how a disaster will strike.</w:t>
      </w:r>
      <w:r w:rsidR="00592FB5" w:rsidRPr="00A9765D">
        <w:rPr>
          <w:rFonts w:cstheme="minorHAnsi"/>
        </w:rPr>
        <w:t xml:space="preserve"> </w:t>
      </w:r>
      <w:r w:rsidR="006E3DC7" w:rsidRPr="00A9765D">
        <w:rPr>
          <w:rFonts w:cstheme="minorHAnsi"/>
        </w:rPr>
        <w:t>Sometimes the local infrastructure is devasted</w:t>
      </w:r>
      <w:r w:rsidR="003A27FA">
        <w:rPr>
          <w:rFonts w:cstheme="minorHAnsi"/>
        </w:rPr>
        <w:t>,</w:t>
      </w:r>
      <w:r w:rsidR="006E3DC7" w:rsidRPr="00A9765D">
        <w:rPr>
          <w:rFonts w:cstheme="minorHAnsi"/>
        </w:rPr>
        <w:t xml:space="preserve"> and there </w:t>
      </w:r>
      <w:r w:rsidR="00615A2D" w:rsidRPr="00A9765D">
        <w:rPr>
          <w:rFonts w:cstheme="minorHAnsi"/>
        </w:rPr>
        <w:t xml:space="preserve">are </w:t>
      </w:r>
      <w:r w:rsidR="006E3DC7" w:rsidRPr="00A9765D">
        <w:rPr>
          <w:rFonts w:cstheme="minorHAnsi"/>
        </w:rPr>
        <w:t xml:space="preserve">no </w:t>
      </w:r>
      <w:r w:rsidR="00615A2D" w:rsidRPr="00A9765D">
        <w:rPr>
          <w:rFonts w:cstheme="minorHAnsi"/>
        </w:rPr>
        <w:t xml:space="preserve">telecommunication </w:t>
      </w:r>
      <w:r w:rsidR="006E3DC7" w:rsidRPr="00A9765D">
        <w:rPr>
          <w:rFonts w:cstheme="minorHAnsi"/>
        </w:rPr>
        <w:t xml:space="preserve">resources </w:t>
      </w:r>
      <w:r w:rsidR="00615A2D" w:rsidRPr="00A9765D">
        <w:rPr>
          <w:rFonts w:cstheme="minorHAnsi"/>
        </w:rPr>
        <w:t xml:space="preserve">available </w:t>
      </w:r>
      <w:r w:rsidR="006E3DC7" w:rsidRPr="00A9765D">
        <w:rPr>
          <w:rFonts w:cstheme="minorHAnsi"/>
        </w:rPr>
        <w:t xml:space="preserve">to provide the </w:t>
      </w:r>
      <w:r w:rsidR="003A27FA">
        <w:rPr>
          <w:rFonts w:cstheme="minorHAnsi"/>
        </w:rPr>
        <w:t>essential</w:t>
      </w:r>
      <w:r w:rsidR="006E3DC7" w:rsidRPr="00A9765D">
        <w:rPr>
          <w:rFonts w:cstheme="minorHAnsi"/>
        </w:rPr>
        <w:t xml:space="preserve"> </w:t>
      </w:r>
      <w:r w:rsidR="00615A2D" w:rsidRPr="00A9765D">
        <w:rPr>
          <w:rFonts w:cstheme="minorHAnsi"/>
        </w:rPr>
        <w:t xml:space="preserve">communication necessities, for example, </w:t>
      </w:r>
      <w:r w:rsidR="00D74E3B" w:rsidRPr="00A9765D">
        <w:rPr>
          <w:rFonts w:cstheme="minorHAnsi"/>
        </w:rPr>
        <w:t>providing</w:t>
      </w:r>
      <w:r w:rsidR="00615A2D" w:rsidRPr="00A9765D">
        <w:rPr>
          <w:rFonts w:cstheme="minorHAnsi"/>
        </w:rPr>
        <w:t xml:space="preserve"> means to the affected communities asking for </w:t>
      </w:r>
      <w:r w:rsidR="00D74E3B" w:rsidRPr="00A9765D">
        <w:rPr>
          <w:rFonts w:cstheme="minorHAnsi"/>
        </w:rPr>
        <w:t xml:space="preserve">help. </w:t>
      </w:r>
      <w:r w:rsidR="00A127B0" w:rsidRPr="00A9765D">
        <w:rPr>
          <w:rFonts w:cstheme="minorHAnsi"/>
        </w:rPr>
        <w:t xml:space="preserve">Usually, </w:t>
      </w:r>
      <w:r w:rsidR="00D74E3B" w:rsidRPr="00A9765D">
        <w:rPr>
          <w:rFonts w:cstheme="minorHAnsi"/>
        </w:rPr>
        <w:t xml:space="preserve">this </w:t>
      </w:r>
      <w:r w:rsidR="00A127B0" w:rsidRPr="00A9765D">
        <w:rPr>
          <w:rFonts w:cstheme="minorHAnsi"/>
        </w:rPr>
        <w:t xml:space="preserve">type of </w:t>
      </w:r>
      <w:r w:rsidR="00D74E3B" w:rsidRPr="00A9765D">
        <w:rPr>
          <w:rFonts w:cstheme="minorHAnsi"/>
        </w:rPr>
        <w:t xml:space="preserve">situation </w:t>
      </w:r>
      <w:r w:rsidR="00A127B0" w:rsidRPr="00A9765D">
        <w:rPr>
          <w:rFonts w:cstheme="minorHAnsi"/>
        </w:rPr>
        <w:t xml:space="preserve">requires a complete </w:t>
      </w:r>
      <w:r w:rsidR="0078242D">
        <w:rPr>
          <w:rFonts w:cstheme="minorHAnsi"/>
        </w:rPr>
        <w:t xml:space="preserve">telecommunication infrastructure to provide </w:t>
      </w:r>
      <w:r w:rsidR="00A127B0" w:rsidRPr="00A9765D">
        <w:rPr>
          <w:rFonts w:cstheme="minorHAnsi"/>
        </w:rPr>
        <w:t>Command and Control</w:t>
      </w:r>
      <w:r w:rsidR="0078242D">
        <w:rPr>
          <w:rStyle w:val="FootnoteReference"/>
          <w:rFonts w:cstheme="minorHAnsi"/>
        </w:rPr>
        <w:footnoteReference w:id="5"/>
      </w:r>
      <w:r w:rsidR="00A127B0" w:rsidRPr="00A9765D">
        <w:rPr>
          <w:rFonts w:cstheme="minorHAnsi"/>
        </w:rPr>
        <w:t xml:space="preserve"> to support the operations</w:t>
      </w:r>
      <w:r w:rsidR="003E2979" w:rsidRPr="00A9765D">
        <w:rPr>
          <w:rFonts w:cstheme="minorHAnsi"/>
        </w:rPr>
        <w:t>.</w:t>
      </w:r>
    </w:p>
    <w:p w14:paraId="7F5C4AC7" w14:textId="191C21D1" w:rsidR="000E0CDF" w:rsidRDefault="000E0CDF" w:rsidP="0093154E">
      <w:pPr>
        <w:spacing w:line="360" w:lineRule="auto"/>
        <w:jc w:val="both"/>
      </w:pPr>
      <w:r w:rsidRPr="000E0CDF">
        <w:lastRenderedPageBreak/>
        <w:t xml:space="preserve">We use a flooding scenario to support the course in the project development. Because the changes to our climate and environment are already contributing to the increased frequency, intensity, and unpredictability of severe weather events, what makes this type of disaster usually in tropical countries like Brazil and Mexico, generating </w:t>
      </w:r>
      <w:r w:rsidR="00667E79" w:rsidRPr="000E0CDF">
        <w:t>many</w:t>
      </w:r>
      <w:r w:rsidRPr="000E0CDF">
        <w:t xml:space="preserve"> victims and causing fatalities and incalculable losses (financial and social) for the population</w:t>
      </w:r>
      <w:r w:rsidR="00D21DF7">
        <w:rPr>
          <w:rStyle w:val="FootnoteReference"/>
        </w:rPr>
        <w:t>,</w:t>
      </w:r>
    </w:p>
    <w:p w14:paraId="7CA1B017" w14:textId="77777777" w:rsidR="00517303" w:rsidRDefault="00517303" w:rsidP="00517303">
      <w:pPr>
        <w:keepNext/>
        <w:spacing w:line="360" w:lineRule="auto"/>
        <w:jc w:val="both"/>
      </w:pPr>
      <w:r>
        <w:rPr>
          <w:noProof/>
        </w:rPr>
        <w:drawing>
          <wp:inline distT="0" distB="0" distL="0" distR="0" wp14:anchorId="624A9348" wp14:editId="20ACDBAD">
            <wp:extent cx="5943600" cy="4459605"/>
            <wp:effectExtent l="0" t="0" r="0" b="0"/>
            <wp:docPr id="1" name="Picture 1" descr="Flooding in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ding in Monterr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09D19768" w14:textId="7A77A7C6" w:rsidR="00517303" w:rsidRDefault="00517303" w:rsidP="00517303">
      <w:pPr>
        <w:pStyle w:val="Caption"/>
        <w:jc w:val="both"/>
      </w:pPr>
      <w:r>
        <w:t xml:space="preserve">Figure </w:t>
      </w:r>
      <w:fldSimple w:instr=" SEQ Figure \* ARABIC ">
        <w:r w:rsidR="007518E6">
          <w:rPr>
            <w:noProof/>
          </w:rPr>
          <w:t>1</w:t>
        </w:r>
      </w:fldSimple>
      <w:r>
        <w:t xml:space="preserve"> - </w:t>
      </w:r>
      <w:r w:rsidRPr="00E64539">
        <w:t>Flooding in Monterrey, Nuevo León</w:t>
      </w:r>
    </w:p>
    <w:p w14:paraId="3A61BECB" w14:textId="4656FA83" w:rsidR="00D01618" w:rsidRDefault="00232A40" w:rsidP="001839B3">
      <w:pPr>
        <w:spacing w:line="360" w:lineRule="auto"/>
        <w:jc w:val="both"/>
      </w:pPr>
      <w:r w:rsidRPr="00232A40">
        <w:t xml:space="preserve">For example, in November of 2008, Santa Catarina, a state in the south of Brazil, had a period of heavy rainfall (20-23 November). The state had suffered constant </w:t>
      </w:r>
      <w:r w:rsidR="00237A1F">
        <w:t>rains</w:t>
      </w:r>
      <w:r w:rsidRPr="00232A40">
        <w:t xml:space="preserve"> for over two months, which turned the soil wet enough to cause a landslide during the storm that hit the state in late November. Around 60 towns and over 1.5 million people </w:t>
      </w:r>
      <w:r>
        <w:t>were</w:t>
      </w:r>
      <w:r w:rsidRPr="00232A40">
        <w:t xml:space="preserve"> affected. At least 128 people have been killed</w:t>
      </w:r>
      <w:r w:rsidR="00237A1F">
        <w:t>,</w:t>
      </w:r>
      <w:r w:rsidRPr="00232A40">
        <w:t xml:space="preserve"> with over 78,700 forced to evacuate their homes. A further 150,000 have been left without electricity, while water rationing is being carried out in at least one town due to purification problems. Several </w:t>
      </w:r>
      <w:r w:rsidR="00237A1F">
        <w:t>regions’ cities</w:t>
      </w:r>
      <w:r w:rsidRPr="00232A40">
        <w:t xml:space="preserve"> have become </w:t>
      </w:r>
      <w:r w:rsidRPr="00232A40">
        <w:lastRenderedPageBreak/>
        <w:t>cut off due to floodwater and landslide debris. Water levels in the Vale do Itajaí have risen to eleven meters above normal.</w:t>
      </w:r>
      <w:r w:rsidR="000E22EF">
        <w:t xml:space="preserve"> </w:t>
      </w:r>
    </w:p>
    <w:p w14:paraId="777E638F" w14:textId="77777777" w:rsidR="004F61DB" w:rsidRDefault="004F61DB" w:rsidP="004F61DB">
      <w:pPr>
        <w:keepNext/>
        <w:spacing w:line="360" w:lineRule="auto"/>
        <w:jc w:val="both"/>
      </w:pPr>
      <w:r>
        <w:rPr>
          <w:noProof/>
        </w:rPr>
        <w:drawing>
          <wp:inline distT="0" distB="0" distL="0" distR="0" wp14:anchorId="7BCCE568" wp14:editId="6AD77070">
            <wp:extent cx="5943600" cy="4451350"/>
            <wp:effectExtent l="0" t="0" r="0" b="6350"/>
            <wp:docPr id="2" name="Picture 2" descr="A picture containing groun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ound, outdo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0F50E00B" w14:textId="2AAE1035" w:rsidR="004F61DB" w:rsidRDefault="004F61DB" w:rsidP="004F61DB">
      <w:pPr>
        <w:pStyle w:val="Caption"/>
        <w:jc w:val="both"/>
      </w:pPr>
      <w:r>
        <w:t xml:space="preserve">Figure </w:t>
      </w:r>
      <w:fldSimple w:instr=" SEQ Figure \* ARABIC ">
        <w:r w:rsidR="007518E6">
          <w:rPr>
            <w:noProof/>
          </w:rPr>
          <w:t>2</w:t>
        </w:r>
      </w:fldSimple>
      <w:r>
        <w:t xml:space="preserve"> - Flooding in Itajaí 2008</w:t>
      </w:r>
      <w:r>
        <w:rPr>
          <w:rStyle w:val="FootnoteReference"/>
        </w:rPr>
        <w:footnoteReference w:id="6"/>
      </w:r>
      <w:r>
        <w:t>.</w:t>
      </w:r>
    </w:p>
    <w:p w14:paraId="0E805D49" w14:textId="6013EF49" w:rsidR="00151E0F" w:rsidRDefault="00D36915" w:rsidP="00D36915">
      <w:pPr>
        <w:spacing w:line="360" w:lineRule="auto"/>
        <w:jc w:val="both"/>
      </w:pPr>
      <w:r w:rsidRPr="00D36915">
        <w:t>Because of the electrical blackout, many communities were left without communication, which made it difficult for people to call for help and inform where they were.</w:t>
      </w:r>
      <w:r w:rsidR="0026090A">
        <w:t xml:space="preserve"> It is the issue that our project will try to solve.</w:t>
      </w:r>
    </w:p>
    <w:p w14:paraId="6B091DE6" w14:textId="0A172896" w:rsidR="00633E5C" w:rsidRDefault="00633E5C" w:rsidP="00633E5C">
      <w:pPr>
        <w:spacing w:line="360" w:lineRule="auto"/>
        <w:jc w:val="both"/>
        <w:rPr>
          <w:b/>
          <w:bCs/>
        </w:rPr>
      </w:pPr>
      <w:r>
        <w:rPr>
          <w:b/>
          <w:bCs/>
        </w:rPr>
        <w:t>Solution Description</w:t>
      </w:r>
    </w:p>
    <w:p w14:paraId="0C357E94" w14:textId="539C9069" w:rsidR="00633E5C" w:rsidRDefault="00EE0CD6" w:rsidP="00633E5C">
      <w:pPr>
        <w:spacing w:line="360" w:lineRule="auto"/>
        <w:jc w:val="both"/>
      </w:pPr>
      <w:r w:rsidRPr="00EE0CD6">
        <w:t xml:space="preserve">The problem to be answered </w:t>
      </w:r>
      <w:r w:rsidR="008B737F">
        <w:t xml:space="preserve">by the Project </w:t>
      </w:r>
      <w:r w:rsidRPr="00EE0CD6">
        <w:t>is how to provide an efficient and secure environment to send a distress message when a natural disaster occurs (</w:t>
      </w:r>
      <w:r w:rsidR="008E739E">
        <w:t>in our case</w:t>
      </w:r>
      <w:r w:rsidR="00237A1F">
        <w:t>,</w:t>
      </w:r>
      <w:r w:rsidR="008E739E">
        <w:t xml:space="preserve"> the </w:t>
      </w:r>
      <w:r w:rsidR="007F45ED" w:rsidRPr="007F45ED">
        <w:t>flood disaster situation</w:t>
      </w:r>
      <w:r w:rsidR="008E739E">
        <w:t>)</w:t>
      </w:r>
      <w:r w:rsidR="007F45ED" w:rsidRPr="007F45ED">
        <w:t xml:space="preserve">. In </w:t>
      </w:r>
      <w:r w:rsidR="008E739E">
        <w:t xml:space="preserve">the </w:t>
      </w:r>
      <w:r w:rsidR="007F45ED" w:rsidRPr="007F45ED">
        <w:t xml:space="preserve">scenario, </w:t>
      </w:r>
      <w:r w:rsidR="008E739E">
        <w:t xml:space="preserve">there </w:t>
      </w:r>
      <w:r w:rsidR="00D47185">
        <w:t xml:space="preserve">are </w:t>
      </w:r>
      <w:r w:rsidR="008E739E">
        <w:t xml:space="preserve">no </w:t>
      </w:r>
      <w:r w:rsidR="007F45ED" w:rsidRPr="007F45ED">
        <w:t xml:space="preserve">telecommunication </w:t>
      </w:r>
      <w:r w:rsidR="008E739E">
        <w:t>links</w:t>
      </w:r>
      <w:r w:rsidR="00D47185">
        <w:t xml:space="preserve"> </w:t>
      </w:r>
      <w:r w:rsidR="007F45ED" w:rsidRPr="007F45ED">
        <w:t>to provide essential communication (voice and data)</w:t>
      </w:r>
      <w:r w:rsidR="00B750C1">
        <w:t xml:space="preserve"> to </w:t>
      </w:r>
      <w:r w:rsidR="00B750C1">
        <w:lastRenderedPageBreak/>
        <w:t xml:space="preserve">the </w:t>
      </w:r>
      <w:r w:rsidR="00B750C1" w:rsidRPr="007F45ED">
        <w:t>rescue teams</w:t>
      </w:r>
      <w:r w:rsidR="007F45ED" w:rsidRPr="007F45ED">
        <w:t xml:space="preserve">. Consequently, it is required to </w:t>
      </w:r>
      <w:r w:rsidR="00B750C1">
        <w:t>be innovative</w:t>
      </w:r>
      <w:r w:rsidR="00237A1F">
        <w:t>. It uses</w:t>
      </w:r>
      <w:r w:rsidR="007F45ED" w:rsidRPr="007F45ED">
        <w:t xml:space="preserve"> the means existent in the community and by volunteers, for example, drones</w:t>
      </w:r>
      <w:r w:rsidR="009B2A12">
        <w:rPr>
          <w:rStyle w:val="FootnoteReference"/>
        </w:rPr>
        <w:footnoteReference w:id="7"/>
      </w:r>
      <w:r w:rsidR="00237A1F">
        <w:t>,</w:t>
      </w:r>
      <w:r w:rsidR="007F45ED" w:rsidRPr="007F45ED">
        <w:t xml:space="preserve"> to </w:t>
      </w:r>
      <w:r w:rsidR="00B750C1">
        <w:t xml:space="preserve">provide </w:t>
      </w:r>
      <w:r w:rsidR="007F45ED" w:rsidRPr="007F45ED">
        <w:t xml:space="preserve">communication </w:t>
      </w:r>
      <w:r w:rsidR="00237A1F">
        <w:t xml:space="preserve">resources </w:t>
      </w:r>
      <w:r w:rsidR="007F45ED" w:rsidRPr="007F45ED">
        <w:t>and support the identification of hazards.</w:t>
      </w:r>
    </w:p>
    <w:p w14:paraId="44440BF9" w14:textId="41A9F7DD" w:rsidR="005D51F0" w:rsidRDefault="005D51F0" w:rsidP="000564AD">
      <w:pPr>
        <w:spacing w:line="360" w:lineRule="auto"/>
        <w:jc w:val="both"/>
      </w:pPr>
      <w:r w:rsidRPr="005D51F0">
        <w:t xml:space="preserve">Figure </w:t>
      </w:r>
      <w:r w:rsidR="00A343F5">
        <w:t>3</w:t>
      </w:r>
      <w:r w:rsidRPr="005D51F0">
        <w:t xml:space="preserve"> shows the </w:t>
      </w:r>
      <w:r>
        <w:t xml:space="preserve">pictorial representation of the </w:t>
      </w:r>
      <w:r w:rsidRPr="005D51F0">
        <w:t xml:space="preserve">scenario. </w:t>
      </w:r>
      <w:r>
        <w:t>On that</w:t>
      </w:r>
      <w:r w:rsidRPr="005D51F0">
        <w:t xml:space="preserve">, the victims in the flood area will have a smartphone </w:t>
      </w:r>
      <w:r>
        <w:t xml:space="preserve">with a rescue </w:t>
      </w:r>
      <w:r w:rsidR="007C1999">
        <w:t>app</w:t>
      </w:r>
      <w:r w:rsidRPr="005D51F0">
        <w:t xml:space="preserve">, </w:t>
      </w:r>
      <w:r w:rsidR="007C1999">
        <w:t xml:space="preserve">which enables the citizens to </w:t>
      </w:r>
      <w:r w:rsidRPr="005D51F0">
        <w:t>send their position continuously and when they are in danger</w:t>
      </w:r>
      <w:r w:rsidR="007C1999">
        <w:t xml:space="preserve"> (</w:t>
      </w:r>
      <w:r w:rsidR="00ED6BA7">
        <w:t xml:space="preserve">severity level message </w:t>
      </w:r>
      <w:r w:rsidR="00ED6BA7">
        <w:sym w:font="Wingdings" w:char="F0E0"/>
      </w:r>
      <w:r w:rsidR="00ED6BA7">
        <w:t xml:space="preserve"> </w:t>
      </w:r>
      <w:r w:rsidRPr="005D51F0">
        <w:t>high</w:t>
      </w:r>
      <w:r w:rsidR="00ED6BA7">
        <w:t xml:space="preserve">, </w:t>
      </w:r>
      <w:r w:rsidRPr="005D51F0">
        <w:t>medium</w:t>
      </w:r>
      <w:r w:rsidR="00ED6BA7">
        <w:t xml:space="preserve">, or </w:t>
      </w:r>
      <w:r w:rsidRPr="005D51F0">
        <w:t>low)</w:t>
      </w:r>
      <w:r w:rsidR="00ED6BA7">
        <w:t xml:space="preserve"> as</w:t>
      </w:r>
      <w:r w:rsidRPr="005D51F0">
        <w:t xml:space="preserve"> a basic text message</w:t>
      </w:r>
      <w:r w:rsidR="00ED6BA7">
        <w:t xml:space="preserve"> (description of their situation)</w:t>
      </w:r>
      <w:r w:rsidR="00A343F5">
        <w:t>, as it is presented in Figure 4</w:t>
      </w:r>
      <w:r w:rsidRPr="005D51F0">
        <w:t xml:space="preserve">. </w:t>
      </w:r>
      <w:r w:rsidR="007D59CA">
        <w:t xml:space="preserve">To provide communication support (enabling </w:t>
      </w:r>
      <w:r w:rsidR="007A70A4">
        <w:t>victims’ messages to</w:t>
      </w:r>
      <w:r w:rsidR="007D59CA">
        <w:t xml:space="preserve"> flow to the Crisis Management Center</w:t>
      </w:r>
      <w:r w:rsidR="00BD2175">
        <w:t xml:space="preserve"> - CMC</w:t>
      </w:r>
      <w:r w:rsidR="007D59CA">
        <w:t xml:space="preserve">), drones </w:t>
      </w:r>
      <w:r w:rsidRPr="005D51F0">
        <w:t>flying in the cris</w:t>
      </w:r>
      <w:r w:rsidR="007A70A4">
        <w:t>is</w:t>
      </w:r>
      <w:r w:rsidRPr="005D51F0">
        <w:t xml:space="preserve"> area</w:t>
      </w:r>
      <w:r w:rsidR="00BD2175">
        <w:t xml:space="preserve"> intercept the message and forward </w:t>
      </w:r>
      <w:r w:rsidR="009D7CA4">
        <w:t xml:space="preserve">it </w:t>
      </w:r>
      <w:r w:rsidR="00BD2175">
        <w:t xml:space="preserve">to other drones until the message arrives </w:t>
      </w:r>
      <w:r w:rsidR="007A70A4">
        <w:t>at</w:t>
      </w:r>
      <w:r w:rsidR="00BD2175">
        <w:t xml:space="preserve"> the CMC</w:t>
      </w:r>
      <w:r w:rsidRPr="005D51F0">
        <w:t xml:space="preserve">. </w:t>
      </w:r>
      <w:r w:rsidR="007A70A4">
        <w:t xml:space="preserve">The CMC </w:t>
      </w:r>
      <w:r w:rsidR="000564AD">
        <w:t xml:space="preserve">data is processed and aggregated, and a dashboard is provided </w:t>
      </w:r>
      <w:r w:rsidRPr="005D51F0">
        <w:t>for the operators to plan the rescue operation efficiently.</w:t>
      </w:r>
    </w:p>
    <w:p w14:paraId="3D119509" w14:textId="77777777" w:rsidR="005C7BDE" w:rsidRDefault="001F2AD4" w:rsidP="005C7BDE">
      <w:pPr>
        <w:keepNext/>
        <w:spacing w:line="360" w:lineRule="auto"/>
        <w:jc w:val="both"/>
      </w:pPr>
      <w:r>
        <w:rPr>
          <w:noProof/>
        </w:rPr>
        <w:drawing>
          <wp:inline distT="0" distB="0" distL="0" distR="0" wp14:anchorId="7C0B10A5" wp14:editId="2A191F79">
            <wp:extent cx="5240655" cy="2381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9469" cy="2385810"/>
                    </a:xfrm>
                    <a:prstGeom prst="rect">
                      <a:avLst/>
                    </a:prstGeom>
                    <a:noFill/>
                  </pic:spPr>
                </pic:pic>
              </a:graphicData>
            </a:graphic>
          </wp:inline>
        </w:drawing>
      </w:r>
    </w:p>
    <w:p w14:paraId="7647B07A" w14:textId="1BAE9E0F" w:rsidR="000564AD" w:rsidRPr="00EE0CD6" w:rsidRDefault="005C7BDE" w:rsidP="005C7BDE">
      <w:pPr>
        <w:pStyle w:val="Caption"/>
        <w:jc w:val="both"/>
      </w:pPr>
      <w:r>
        <w:t xml:space="preserve">Figure </w:t>
      </w:r>
      <w:fldSimple w:instr=" SEQ Figure \* ARABIC ">
        <w:r w:rsidR="007518E6">
          <w:rPr>
            <w:noProof/>
          </w:rPr>
          <w:t>3</w:t>
        </w:r>
      </w:fldSimple>
      <w:r>
        <w:t xml:space="preserve"> - Implementation Definition.</w:t>
      </w:r>
    </w:p>
    <w:p w14:paraId="0C148DD9" w14:textId="77777777" w:rsidR="00BD420D" w:rsidRDefault="00BD420D" w:rsidP="00BD420D">
      <w:pPr>
        <w:keepNext/>
        <w:spacing w:line="360" w:lineRule="auto"/>
        <w:jc w:val="both"/>
      </w:pPr>
      <w:r>
        <w:rPr>
          <w:noProof/>
        </w:rPr>
        <w:lastRenderedPageBreak/>
        <w:drawing>
          <wp:inline distT="0" distB="0" distL="0" distR="0" wp14:anchorId="7753A27B" wp14:editId="5B1A678C">
            <wp:extent cx="1602904" cy="3199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419" cy="3208142"/>
                    </a:xfrm>
                    <a:prstGeom prst="rect">
                      <a:avLst/>
                    </a:prstGeom>
                    <a:noFill/>
                  </pic:spPr>
                </pic:pic>
              </a:graphicData>
            </a:graphic>
          </wp:inline>
        </w:drawing>
      </w:r>
    </w:p>
    <w:p w14:paraId="52DACE9E" w14:textId="1DF4B213" w:rsidR="00A343F5" w:rsidRDefault="00BD420D" w:rsidP="00BD420D">
      <w:pPr>
        <w:pStyle w:val="Caption"/>
        <w:jc w:val="both"/>
      </w:pPr>
      <w:r>
        <w:t xml:space="preserve">Figure </w:t>
      </w:r>
      <w:fldSimple w:instr=" SEQ Figure \* ARABIC ">
        <w:r w:rsidR="007518E6">
          <w:rPr>
            <w:noProof/>
          </w:rPr>
          <w:t>4</w:t>
        </w:r>
      </w:fldSimple>
      <w:r>
        <w:t xml:space="preserve"> - Android App</w:t>
      </w:r>
    </w:p>
    <w:p w14:paraId="75F3C023" w14:textId="24AF9EF4" w:rsidR="0026090A" w:rsidRDefault="00D10EC2" w:rsidP="00D36915">
      <w:pPr>
        <w:spacing w:line="360" w:lineRule="auto"/>
        <w:jc w:val="both"/>
      </w:pPr>
      <w:r>
        <w:t xml:space="preserve">The approach used to implement the solution is through an Internet of Things (IoT) architecture. </w:t>
      </w:r>
      <w:r w:rsidR="0043102D" w:rsidRPr="0043102D">
        <w:t xml:space="preserve">IoT is an advanced automation and analytics system </w:t>
      </w:r>
      <w:r w:rsidR="0043102D">
        <w:t>that</w:t>
      </w:r>
      <w:r w:rsidR="0043102D" w:rsidRPr="0043102D">
        <w:t xml:space="preserve"> deals with artificial intelligence, sensor, networking, electronic, cloud messaging, etc.</w:t>
      </w:r>
      <w:r w:rsidR="00383A66">
        <w:t>,</w:t>
      </w:r>
      <w:r w:rsidR="0043102D" w:rsidRPr="0043102D">
        <w:t xml:space="preserve"> to deliver complete systems for the product or services</w:t>
      </w:r>
      <w:r w:rsidR="004F3055">
        <w:rPr>
          <w:rStyle w:val="FootnoteReference"/>
        </w:rPr>
        <w:footnoteReference w:id="8"/>
      </w:r>
      <w:r w:rsidR="0043102D" w:rsidRPr="0043102D">
        <w:t>.</w:t>
      </w:r>
      <w:r w:rsidR="00C066DB">
        <w:t xml:space="preserve"> </w:t>
      </w:r>
      <w:r w:rsidR="00383A66" w:rsidRPr="00383A66">
        <w:t>You use a four-stage architecture to design the solution and make it easy to understand and interoperable</w:t>
      </w:r>
      <w:r w:rsidR="00A41002">
        <w:t xml:space="preserve">, as presented in Figure </w:t>
      </w:r>
      <w:r w:rsidR="00A343F5">
        <w:t>5</w:t>
      </w:r>
      <w:r w:rsidR="00A41002">
        <w:t xml:space="preserve">. </w:t>
      </w:r>
    </w:p>
    <w:p w14:paraId="2370B866" w14:textId="77777777" w:rsidR="00C63C39" w:rsidRDefault="00C63C39" w:rsidP="00C63C39">
      <w:pPr>
        <w:keepNext/>
        <w:spacing w:line="360" w:lineRule="auto"/>
        <w:jc w:val="both"/>
      </w:pPr>
      <w:r w:rsidRPr="00C63C39">
        <w:rPr>
          <w:noProof/>
        </w:rPr>
        <w:drawing>
          <wp:inline distT="0" distB="0" distL="0" distR="0" wp14:anchorId="0A03C355" wp14:editId="6DAC24B2">
            <wp:extent cx="3820160" cy="1983136"/>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3831606" cy="1989078"/>
                    </a:xfrm>
                    <a:prstGeom prst="rect">
                      <a:avLst/>
                    </a:prstGeom>
                  </pic:spPr>
                </pic:pic>
              </a:graphicData>
            </a:graphic>
          </wp:inline>
        </w:drawing>
      </w:r>
    </w:p>
    <w:p w14:paraId="2A88159C" w14:textId="14260D15" w:rsidR="00C63C39" w:rsidRDefault="00C63C39" w:rsidP="004600E3">
      <w:pPr>
        <w:pStyle w:val="Caption"/>
        <w:spacing w:after="240"/>
        <w:jc w:val="both"/>
      </w:pPr>
      <w:r>
        <w:t xml:space="preserve">Figure </w:t>
      </w:r>
      <w:fldSimple w:instr=" SEQ Figure \* ARABIC ">
        <w:r w:rsidR="007518E6">
          <w:rPr>
            <w:noProof/>
          </w:rPr>
          <w:t>5</w:t>
        </w:r>
      </w:fldSimple>
      <w:r>
        <w:t xml:space="preserve"> - Four-stage IoT Architecture.</w:t>
      </w:r>
    </w:p>
    <w:p w14:paraId="1BA4192A" w14:textId="038BFAF6" w:rsidR="00F43AFD" w:rsidRDefault="00F43AFD" w:rsidP="00295EBF">
      <w:pPr>
        <w:spacing w:after="240" w:line="360" w:lineRule="auto"/>
        <w:jc w:val="both"/>
      </w:pPr>
      <w:r w:rsidRPr="00401A62">
        <w:lastRenderedPageBreak/>
        <w:t>Backing to Figure 1, it is easy to understand that the Edge and Gateway layers are provided by the Drones, which implement an MQTT broker to forward the messages from the Android devices to CMC, which is hosted in the cloud.</w:t>
      </w:r>
      <w:r w:rsidR="004611A8" w:rsidRPr="00401A62">
        <w:t xml:space="preserve"> The message protocol selected is the </w:t>
      </w:r>
      <w:r w:rsidR="00295EBF" w:rsidRPr="00401A62">
        <w:t>MQTT. MQTT</w:t>
      </w:r>
      <w:r w:rsidR="00612A0A" w:rsidRPr="00401A62">
        <w:rPr>
          <w:rStyle w:val="FootnoteReference"/>
        </w:rPr>
        <w:footnoteReference w:id="9"/>
      </w:r>
      <w:r w:rsidR="00295EBF" w:rsidRPr="00401A62">
        <w:t xml:space="preserve"> is an OASIS standard messaging protocol for the Internet of Things (IoT). It is designed as an extremely lightweight publish/subscribe messaging transport </w:t>
      </w:r>
      <w:r w:rsidR="00383A66" w:rsidRPr="00401A62">
        <w:t xml:space="preserve">ideal for connecting remote devices with a small code footprint and minimal network bandwidth. MQTT today is used in various industries, such as automotive, manufacturing, telecommunications, </w:t>
      </w:r>
      <w:r w:rsidR="00295EBF" w:rsidRPr="00401A62">
        <w:t>oil &amp; gas, etc.</w:t>
      </w:r>
    </w:p>
    <w:p w14:paraId="377F0AAB" w14:textId="49DFC2DB" w:rsidR="007E180D" w:rsidRDefault="007E180D" w:rsidP="007E180D">
      <w:pPr>
        <w:spacing w:line="360" w:lineRule="auto"/>
        <w:jc w:val="both"/>
        <w:rPr>
          <w:b/>
          <w:bCs/>
        </w:rPr>
      </w:pPr>
      <w:r>
        <w:rPr>
          <w:b/>
          <w:bCs/>
        </w:rPr>
        <w:t>Project Method Implementation</w:t>
      </w:r>
    </w:p>
    <w:p w14:paraId="01C0A86B" w14:textId="77777777" w:rsidR="00FA003F" w:rsidRDefault="00FA003F" w:rsidP="00FA003F">
      <w:pPr>
        <w:spacing w:after="240" w:line="360" w:lineRule="auto"/>
        <w:jc w:val="both"/>
      </w:pPr>
      <w:r>
        <w:t>The Above scenario will be collaboratively developed by both groups (ITA &amp; TEC), where the TEC is responsible for developing the IoT environment (C2 dashboard, victim device, and other IoT infrastructure). In contrast, the ITA will create the network environment (using a simulator).</w:t>
      </w:r>
    </w:p>
    <w:p w14:paraId="0AE39FB4" w14:textId="0500A839" w:rsidR="00295EBF" w:rsidRDefault="00FA003F" w:rsidP="00FA003F">
      <w:pPr>
        <w:spacing w:after="240" w:line="360" w:lineRule="auto"/>
        <w:jc w:val="both"/>
      </w:pPr>
      <w:r>
        <w:t xml:space="preserve">The activity will be performed in 5 weeks, and the last one is the project workshop, which follows the GSL methodology, as shown in Figure </w:t>
      </w:r>
      <w:r w:rsidR="00105E6C">
        <w:t>6</w:t>
      </w:r>
      <w:r w:rsidR="00381062">
        <w:t xml:space="preserve">. Following this methodology, the </w:t>
      </w:r>
      <w:r w:rsidR="004D24EE">
        <w:t xml:space="preserve">work </w:t>
      </w:r>
      <w:r w:rsidR="00381062">
        <w:t xml:space="preserve">will be implemented in 3 </w:t>
      </w:r>
      <w:r w:rsidR="004D24EE">
        <w:t>activities</w:t>
      </w:r>
      <w:r w:rsidR="00381062">
        <w:t xml:space="preserve">: </w:t>
      </w:r>
      <w:r w:rsidR="00C42AD1">
        <w:t xml:space="preserve"> </w:t>
      </w:r>
      <w:r w:rsidR="004D24EE">
        <w:t xml:space="preserve">Icebreaker, Collaboration, and Reflection. These activities are </w:t>
      </w:r>
      <w:r w:rsidR="00C42AD1">
        <w:t xml:space="preserve">described </w:t>
      </w:r>
      <w:r w:rsidR="004D24EE">
        <w:t xml:space="preserve">in </w:t>
      </w:r>
      <w:r w:rsidR="00C42AD1">
        <w:t>tables 1, 2</w:t>
      </w:r>
      <w:r w:rsidR="008213E0">
        <w:t>,</w:t>
      </w:r>
      <w:r w:rsidR="00C42AD1">
        <w:t xml:space="preserve"> and 3</w:t>
      </w:r>
      <w:r>
        <w:t>.</w:t>
      </w:r>
    </w:p>
    <w:p w14:paraId="0FDDA16A" w14:textId="77777777" w:rsidR="007518E6" w:rsidRDefault="007518E6" w:rsidP="007518E6">
      <w:pPr>
        <w:keepNext/>
        <w:spacing w:after="240" w:line="360" w:lineRule="auto"/>
        <w:jc w:val="both"/>
      </w:pPr>
      <w:r>
        <w:rPr>
          <w:rFonts w:ascii="Arial" w:hAnsi="Arial" w:cs="Arial"/>
          <w:noProof/>
        </w:rPr>
        <w:drawing>
          <wp:inline distT="0" distB="0" distL="0" distR="0" wp14:anchorId="52EB0DC6" wp14:editId="5F3E37F5">
            <wp:extent cx="5125720" cy="2787263"/>
            <wp:effectExtent l="0" t="0" r="0" b="0"/>
            <wp:docPr id="6" name="Imagem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3294" cy="2802257"/>
                    </a:xfrm>
                    <a:prstGeom prst="rect">
                      <a:avLst/>
                    </a:prstGeom>
                    <a:noFill/>
                  </pic:spPr>
                </pic:pic>
              </a:graphicData>
            </a:graphic>
          </wp:inline>
        </w:drawing>
      </w:r>
    </w:p>
    <w:p w14:paraId="0B5212E3" w14:textId="5C46695D" w:rsidR="007518E6" w:rsidRDefault="007518E6" w:rsidP="007518E6">
      <w:pPr>
        <w:pStyle w:val="Caption"/>
        <w:jc w:val="both"/>
      </w:pPr>
      <w:r>
        <w:t xml:space="preserve">Figure </w:t>
      </w:r>
      <w:fldSimple w:instr=" SEQ Figure \* ARABIC ">
        <w:r>
          <w:rPr>
            <w:noProof/>
          </w:rPr>
          <w:t>6</w:t>
        </w:r>
      </w:fldSimple>
      <w:r>
        <w:t xml:space="preserve"> - GSL Methodology.</w:t>
      </w:r>
    </w:p>
    <w:p w14:paraId="1024510F" w14:textId="77777777" w:rsidR="007518E6" w:rsidRDefault="007518E6" w:rsidP="007518E6"/>
    <w:p w14:paraId="651EC3E5" w14:textId="77777777" w:rsidR="00E81553" w:rsidRDefault="00E81553">
      <w:pPr>
        <w:rPr>
          <w:i/>
          <w:iCs/>
          <w:color w:val="44546A" w:themeColor="text2"/>
          <w:sz w:val="18"/>
          <w:szCs w:val="18"/>
        </w:rPr>
      </w:pPr>
      <w:r>
        <w:lastRenderedPageBreak/>
        <w:br w:type="page"/>
      </w:r>
    </w:p>
    <w:p w14:paraId="4F466271" w14:textId="0640202B" w:rsidR="00E81553" w:rsidRDefault="00E81553" w:rsidP="00E81553">
      <w:pPr>
        <w:pStyle w:val="Caption"/>
        <w:keepNext/>
        <w:jc w:val="center"/>
      </w:pPr>
      <w:r>
        <w:lastRenderedPageBreak/>
        <w:t xml:space="preserve">Table </w:t>
      </w:r>
      <w:fldSimple w:instr=" SEQ Table \* ARABIC ">
        <w:r>
          <w:rPr>
            <w:noProof/>
          </w:rPr>
          <w:t>1</w:t>
        </w:r>
      </w:fldSimple>
      <w:r>
        <w:t xml:space="preserve"> - </w:t>
      </w:r>
      <w:r w:rsidRPr="00A20026">
        <w:t>Icebreaker</w:t>
      </w:r>
      <w:r>
        <w:t xml:space="preserve"> Activity.</w:t>
      </w:r>
    </w:p>
    <w:tbl>
      <w:tblPr>
        <w:tblStyle w:val="TableGrid"/>
        <w:tblW w:w="9445" w:type="dxa"/>
        <w:tblLook w:val="04A0" w:firstRow="1" w:lastRow="0" w:firstColumn="1" w:lastColumn="0" w:noHBand="0" w:noVBand="1"/>
      </w:tblPr>
      <w:tblGrid>
        <w:gridCol w:w="1254"/>
        <w:gridCol w:w="631"/>
        <w:gridCol w:w="816"/>
        <w:gridCol w:w="6744"/>
      </w:tblGrid>
      <w:tr w:rsidR="00E81553" w:rsidRPr="004D24EE" w14:paraId="1F0FCE53" w14:textId="77777777" w:rsidTr="00E81553">
        <w:tc>
          <w:tcPr>
            <w:tcW w:w="1254" w:type="dxa"/>
            <w:vAlign w:val="center"/>
          </w:tcPr>
          <w:p w14:paraId="5A3B569A" w14:textId="77777777" w:rsidR="00E81553" w:rsidRPr="004D24EE" w:rsidRDefault="00E81553" w:rsidP="004D24EE">
            <w:pPr>
              <w:jc w:val="center"/>
              <w:rPr>
                <w:rFonts w:cstheme="minorHAnsi"/>
                <w:b/>
                <w:bCs/>
                <w:sz w:val="18"/>
                <w:szCs w:val="18"/>
              </w:rPr>
            </w:pPr>
            <w:r w:rsidRPr="004D24EE">
              <w:rPr>
                <w:rFonts w:cstheme="minorHAnsi"/>
                <w:b/>
                <w:bCs/>
                <w:sz w:val="18"/>
                <w:szCs w:val="18"/>
              </w:rPr>
              <w:t>Task</w:t>
            </w:r>
          </w:p>
        </w:tc>
        <w:tc>
          <w:tcPr>
            <w:tcW w:w="631" w:type="dxa"/>
            <w:vAlign w:val="center"/>
          </w:tcPr>
          <w:p w14:paraId="31762BB6" w14:textId="77777777" w:rsidR="00E81553" w:rsidRPr="004D24EE" w:rsidRDefault="00E81553" w:rsidP="004D24EE">
            <w:pPr>
              <w:jc w:val="center"/>
              <w:rPr>
                <w:rFonts w:cstheme="minorHAnsi"/>
                <w:b/>
                <w:bCs/>
                <w:sz w:val="18"/>
                <w:szCs w:val="18"/>
              </w:rPr>
            </w:pPr>
            <w:r w:rsidRPr="004D24EE">
              <w:rPr>
                <w:rFonts w:cstheme="minorHAnsi"/>
                <w:b/>
                <w:bCs/>
                <w:sz w:val="18"/>
                <w:szCs w:val="18"/>
              </w:rPr>
              <w:t>Due Date</w:t>
            </w:r>
          </w:p>
        </w:tc>
        <w:tc>
          <w:tcPr>
            <w:tcW w:w="816" w:type="dxa"/>
            <w:vAlign w:val="center"/>
          </w:tcPr>
          <w:p w14:paraId="1D77AFD3" w14:textId="77777777" w:rsidR="00E81553" w:rsidRPr="004D24EE" w:rsidRDefault="00E81553" w:rsidP="004D24EE">
            <w:pPr>
              <w:jc w:val="center"/>
              <w:rPr>
                <w:rFonts w:cstheme="minorHAnsi"/>
                <w:b/>
                <w:bCs/>
                <w:sz w:val="18"/>
                <w:szCs w:val="18"/>
              </w:rPr>
            </w:pPr>
            <w:r w:rsidRPr="004D24EE">
              <w:rPr>
                <w:rFonts w:cstheme="minorHAnsi"/>
                <w:b/>
                <w:bCs/>
                <w:sz w:val="18"/>
                <w:szCs w:val="18"/>
              </w:rPr>
              <w:t>Weight Reto</w:t>
            </w:r>
          </w:p>
        </w:tc>
        <w:tc>
          <w:tcPr>
            <w:tcW w:w="6744" w:type="dxa"/>
            <w:vAlign w:val="center"/>
          </w:tcPr>
          <w:p w14:paraId="13A0E8CD" w14:textId="77777777" w:rsidR="00E81553" w:rsidRPr="004D24EE" w:rsidRDefault="00E81553" w:rsidP="004D24EE">
            <w:pPr>
              <w:jc w:val="both"/>
              <w:rPr>
                <w:rFonts w:cstheme="minorHAnsi"/>
                <w:b/>
                <w:bCs/>
                <w:sz w:val="18"/>
                <w:szCs w:val="18"/>
              </w:rPr>
            </w:pPr>
            <w:r w:rsidRPr="004D24EE">
              <w:rPr>
                <w:rFonts w:cstheme="minorHAnsi"/>
                <w:b/>
                <w:bCs/>
                <w:sz w:val="18"/>
                <w:szCs w:val="18"/>
              </w:rPr>
              <w:t>Description</w:t>
            </w:r>
          </w:p>
        </w:tc>
      </w:tr>
      <w:tr w:rsidR="00E81553" w:rsidRPr="004D24EE" w14:paraId="47161C2A" w14:textId="77777777" w:rsidTr="00E81553">
        <w:tc>
          <w:tcPr>
            <w:tcW w:w="1254" w:type="dxa"/>
            <w:vAlign w:val="center"/>
          </w:tcPr>
          <w:p w14:paraId="3C6B156D" w14:textId="77777777" w:rsidR="00E81553" w:rsidRPr="004D24EE" w:rsidRDefault="00E81553" w:rsidP="004D24EE">
            <w:pPr>
              <w:jc w:val="center"/>
              <w:rPr>
                <w:rFonts w:cstheme="minorHAnsi"/>
                <w:sz w:val="18"/>
                <w:szCs w:val="18"/>
              </w:rPr>
            </w:pPr>
            <w:r w:rsidRPr="004D24EE">
              <w:rPr>
                <w:rFonts w:cstheme="minorHAnsi"/>
                <w:sz w:val="18"/>
                <w:szCs w:val="18"/>
              </w:rPr>
              <w:t>Step 1: Icebreaker Video</w:t>
            </w:r>
          </w:p>
        </w:tc>
        <w:tc>
          <w:tcPr>
            <w:tcW w:w="631" w:type="dxa"/>
            <w:vAlign w:val="center"/>
          </w:tcPr>
          <w:p w14:paraId="7321D72D" w14:textId="77777777" w:rsidR="00E81553" w:rsidRPr="004D24EE" w:rsidRDefault="00E81553" w:rsidP="004D24EE">
            <w:pPr>
              <w:jc w:val="center"/>
              <w:rPr>
                <w:rFonts w:cstheme="minorHAnsi"/>
                <w:sz w:val="18"/>
                <w:szCs w:val="18"/>
              </w:rPr>
            </w:pPr>
            <w:r w:rsidRPr="004D24EE">
              <w:rPr>
                <w:rFonts w:cstheme="minorHAnsi"/>
                <w:sz w:val="18"/>
                <w:szCs w:val="18"/>
              </w:rPr>
              <w:t>3/11</w:t>
            </w:r>
          </w:p>
        </w:tc>
        <w:tc>
          <w:tcPr>
            <w:tcW w:w="816" w:type="dxa"/>
            <w:vAlign w:val="center"/>
          </w:tcPr>
          <w:p w14:paraId="7448DEB8" w14:textId="77777777" w:rsidR="00E81553" w:rsidRPr="004D24EE" w:rsidRDefault="00E81553" w:rsidP="004D24EE">
            <w:pPr>
              <w:jc w:val="center"/>
              <w:rPr>
                <w:rFonts w:cstheme="minorHAnsi"/>
                <w:sz w:val="18"/>
                <w:szCs w:val="18"/>
              </w:rPr>
            </w:pPr>
            <w:r w:rsidRPr="004D24EE">
              <w:rPr>
                <w:rFonts w:cstheme="minorHAnsi"/>
                <w:sz w:val="18"/>
                <w:szCs w:val="18"/>
              </w:rPr>
              <w:t>5%</w:t>
            </w:r>
          </w:p>
        </w:tc>
        <w:tc>
          <w:tcPr>
            <w:tcW w:w="6744" w:type="dxa"/>
            <w:vAlign w:val="center"/>
          </w:tcPr>
          <w:p w14:paraId="2A951EF9" w14:textId="50F9094F" w:rsidR="00E81553" w:rsidRPr="004D24EE" w:rsidRDefault="00E81553" w:rsidP="007866A7">
            <w:pPr>
              <w:spacing w:after="240"/>
              <w:jc w:val="both"/>
              <w:rPr>
                <w:rFonts w:cstheme="minorHAnsi"/>
                <w:sz w:val="18"/>
                <w:szCs w:val="18"/>
              </w:rPr>
            </w:pPr>
            <w:r w:rsidRPr="004D24EE">
              <w:rPr>
                <w:rFonts w:cstheme="minorHAnsi"/>
                <w:sz w:val="18"/>
                <w:szCs w:val="18"/>
              </w:rPr>
              <w:t xml:space="preserve">Make a video introducing yourself (1-3 minutes) where you tell us about yourself, who you are, where </w:t>
            </w:r>
            <w:r w:rsidR="00D21DF7">
              <w:rPr>
                <w:rFonts w:cstheme="minorHAnsi"/>
                <w:sz w:val="18"/>
                <w:szCs w:val="18"/>
              </w:rPr>
              <w:t>you are</w:t>
            </w:r>
            <w:r w:rsidRPr="004D24EE">
              <w:rPr>
                <w:rFonts w:cstheme="minorHAnsi"/>
                <w:sz w:val="18"/>
                <w:szCs w:val="18"/>
              </w:rPr>
              <w:t xml:space="preserve"> from, what </w:t>
            </w:r>
            <w:r w:rsidR="00D21DF7">
              <w:rPr>
                <w:rFonts w:cstheme="minorHAnsi"/>
                <w:sz w:val="18"/>
                <w:szCs w:val="18"/>
              </w:rPr>
              <w:t>you are</w:t>
            </w:r>
            <w:r w:rsidRPr="004D24EE">
              <w:rPr>
                <w:rFonts w:cstheme="minorHAnsi"/>
                <w:sz w:val="18"/>
                <w:szCs w:val="18"/>
              </w:rPr>
              <w:t xml:space="preserve"> studying, what you like to do in your spare time, and what are some of your interests or passions, and your future.  Try to focus on what your international peers (you suppose) do not know about you, your city, your country, and your school.</w:t>
            </w:r>
          </w:p>
          <w:p w14:paraId="545B2137" w14:textId="77777777" w:rsidR="00E81553" w:rsidRPr="004D24EE" w:rsidRDefault="00E81553" w:rsidP="007866A7">
            <w:pPr>
              <w:spacing w:after="240"/>
              <w:jc w:val="both"/>
              <w:rPr>
                <w:rFonts w:cstheme="minorHAnsi"/>
                <w:sz w:val="18"/>
                <w:szCs w:val="18"/>
              </w:rPr>
            </w:pPr>
            <w:r w:rsidRPr="004D24EE">
              <w:rPr>
                <w:rFonts w:cstheme="minorHAnsi"/>
                <w:sz w:val="18"/>
                <w:szCs w:val="18"/>
              </w:rPr>
              <w:t>Try to get the group’s attention - remember this is your opportunity to meet interesting people worldwide. Feel free to express yourself; this is a safe place we all respect.</w:t>
            </w:r>
          </w:p>
        </w:tc>
      </w:tr>
      <w:tr w:rsidR="00E81553" w:rsidRPr="004D24EE" w14:paraId="1432AB67" w14:textId="77777777" w:rsidTr="00E81553">
        <w:tc>
          <w:tcPr>
            <w:tcW w:w="1254" w:type="dxa"/>
            <w:vAlign w:val="center"/>
          </w:tcPr>
          <w:p w14:paraId="3643414A" w14:textId="77777777" w:rsidR="00E81553" w:rsidRPr="004D24EE" w:rsidRDefault="00E81553" w:rsidP="004D24EE">
            <w:pPr>
              <w:jc w:val="center"/>
              <w:rPr>
                <w:rFonts w:cstheme="minorHAnsi"/>
                <w:sz w:val="18"/>
                <w:szCs w:val="18"/>
              </w:rPr>
            </w:pPr>
            <w:r w:rsidRPr="004D24EE">
              <w:rPr>
                <w:rFonts w:cstheme="minorHAnsi"/>
                <w:sz w:val="18"/>
                <w:szCs w:val="18"/>
              </w:rPr>
              <w:t xml:space="preserve">Step 2: Reply </w:t>
            </w:r>
            <w:proofErr w:type="gramStart"/>
            <w:r w:rsidRPr="004D24EE">
              <w:rPr>
                <w:rFonts w:cstheme="minorHAnsi"/>
                <w:sz w:val="18"/>
                <w:szCs w:val="18"/>
              </w:rPr>
              <w:t>To</w:t>
            </w:r>
            <w:proofErr w:type="gramEnd"/>
            <w:r w:rsidRPr="004D24EE">
              <w:rPr>
                <w:rFonts w:cstheme="minorHAnsi"/>
                <w:sz w:val="18"/>
                <w:szCs w:val="18"/>
              </w:rPr>
              <w:t xml:space="preserve"> Your Peers</w:t>
            </w:r>
          </w:p>
        </w:tc>
        <w:tc>
          <w:tcPr>
            <w:tcW w:w="631" w:type="dxa"/>
            <w:vAlign w:val="center"/>
          </w:tcPr>
          <w:p w14:paraId="4D2C790B" w14:textId="77777777" w:rsidR="00E81553" w:rsidRPr="004D24EE" w:rsidRDefault="00E81553" w:rsidP="004D24EE">
            <w:pPr>
              <w:jc w:val="center"/>
              <w:rPr>
                <w:rFonts w:cstheme="minorHAnsi"/>
                <w:sz w:val="18"/>
                <w:szCs w:val="18"/>
              </w:rPr>
            </w:pPr>
            <w:r w:rsidRPr="004D24EE">
              <w:rPr>
                <w:rFonts w:cstheme="minorHAnsi"/>
                <w:sz w:val="18"/>
                <w:szCs w:val="18"/>
              </w:rPr>
              <w:t>4/11</w:t>
            </w:r>
          </w:p>
        </w:tc>
        <w:tc>
          <w:tcPr>
            <w:tcW w:w="816" w:type="dxa"/>
            <w:vAlign w:val="center"/>
          </w:tcPr>
          <w:p w14:paraId="3E2C6793" w14:textId="77777777" w:rsidR="00E81553" w:rsidRPr="004D24EE" w:rsidRDefault="00E81553" w:rsidP="004D24EE">
            <w:pPr>
              <w:jc w:val="center"/>
              <w:rPr>
                <w:rFonts w:cstheme="minorHAnsi"/>
                <w:sz w:val="18"/>
                <w:szCs w:val="18"/>
              </w:rPr>
            </w:pPr>
            <w:r w:rsidRPr="004D24EE">
              <w:rPr>
                <w:rFonts w:cstheme="minorHAnsi"/>
                <w:sz w:val="18"/>
                <w:szCs w:val="18"/>
              </w:rPr>
              <w:t>5%</w:t>
            </w:r>
          </w:p>
        </w:tc>
        <w:tc>
          <w:tcPr>
            <w:tcW w:w="6744" w:type="dxa"/>
            <w:vAlign w:val="center"/>
          </w:tcPr>
          <w:p w14:paraId="488E3E4E" w14:textId="77777777" w:rsidR="00E81553" w:rsidRPr="004D24EE" w:rsidRDefault="00E81553" w:rsidP="007866A7">
            <w:pPr>
              <w:spacing w:after="240"/>
              <w:jc w:val="both"/>
              <w:rPr>
                <w:rFonts w:cstheme="minorHAnsi"/>
                <w:sz w:val="18"/>
                <w:szCs w:val="18"/>
              </w:rPr>
            </w:pPr>
            <w:r w:rsidRPr="004D24EE">
              <w:rPr>
                <w:rFonts w:cstheme="minorHAnsi"/>
                <w:sz w:val="18"/>
                <w:szCs w:val="18"/>
              </w:rPr>
              <w:t>Ok! Let's keep working! Once you have posted your message, reply to at least two other students you don’t know, and comment on what they find attractive about their posts.</w:t>
            </w:r>
          </w:p>
          <w:p w14:paraId="54F13FE4" w14:textId="72365DC9" w:rsidR="00E81553" w:rsidRPr="004D24EE" w:rsidRDefault="00E81553" w:rsidP="007866A7">
            <w:pPr>
              <w:spacing w:after="240"/>
              <w:jc w:val="both"/>
              <w:rPr>
                <w:rFonts w:cstheme="minorHAnsi"/>
                <w:sz w:val="18"/>
                <w:szCs w:val="18"/>
              </w:rPr>
            </w:pPr>
            <w:r w:rsidRPr="004D24EE">
              <w:rPr>
                <w:rFonts w:cstheme="minorHAnsi"/>
                <w:sz w:val="18"/>
                <w:szCs w:val="18"/>
              </w:rPr>
              <w:t xml:space="preserve">The follow-up posts should consist of one well-crafted paragraph, including an introductory sentence and finishing </w:t>
            </w:r>
            <w:r w:rsidR="00D21DF7">
              <w:rPr>
                <w:rFonts w:cstheme="minorHAnsi"/>
                <w:sz w:val="18"/>
                <w:szCs w:val="18"/>
              </w:rPr>
              <w:t>a</w:t>
            </w:r>
            <w:r w:rsidRPr="004D24EE">
              <w:rPr>
                <w:rFonts w:cstheme="minorHAnsi"/>
                <w:sz w:val="18"/>
                <w:szCs w:val="18"/>
              </w:rPr>
              <w:t xml:space="preserve"> </w:t>
            </w:r>
            <w:r w:rsidR="00D21DF7">
              <w:rPr>
                <w:rFonts w:cstheme="minorHAnsi"/>
                <w:sz w:val="18"/>
                <w:szCs w:val="18"/>
              </w:rPr>
              <w:t>section</w:t>
            </w:r>
            <w:r w:rsidRPr="004D24EE">
              <w:rPr>
                <w:rFonts w:cstheme="minorHAnsi"/>
                <w:sz w:val="18"/>
                <w:szCs w:val="18"/>
              </w:rPr>
              <w:t xml:space="preserve"> with a concluding statement or question.</w:t>
            </w:r>
          </w:p>
          <w:p w14:paraId="431104AF" w14:textId="77777777" w:rsidR="00E81553" w:rsidRPr="004D24EE" w:rsidRDefault="00E81553" w:rsidP="007866A7">
            <w:pPr>
              <w:spacing w:after="240"/>
              <w:jc w:val="both"/>
              <w:rPr>
                <w:rFonts w:cstheme="minorHAnsi"/>
                <w:sz w:val="18"/>
                <w:szCs w:val="18"/>
              </w:rPr>
            </w:pPr>
            <w:r w:rsidRPr="004D24EE">
              <w:rPr>
                <w:rFonts w:cstheme="minorHAnsi"/>
                <w:sz w:val="18"/>
                <w:szCs w:val="18"/>
              </w:rPr>
              <w:t>Did you find something interesting in your peer's post? Do you observe any differences or similarities with your peers? Do you have any advice for them?</w:t>
            </w:r>
          </w:p>
          <w:p w14:paraId="02550F25" w14:textId="289F0EB4" w:rsidR="00E81553" w:rsidRPr="004D24EE" w:rsidRDefault="00E81553" w:rsidP="007866A7">
            <w:pPr>
              <w:spacing w:after="240"/>
              <w:jc w:val="both"/>
              <w:rPr>
                <w:rFonts w:cstheme="minorHAnsi"/>
                <w:sz w:val="18"/>
                <w:szCs w:val="18"/>
              </w:rPr>
            </w:pPr>
            <w:r w:rsidRPr="004D24EE">
              <w:rPr>
                <w:rFonts w:cstheme="minorHAnsi"/>
                <w:sz w:val="18"/>
                <w:szCs w:val="18"/>
              </w:rPr>
              <w:t>After someone comments on your post, reply or react to the observations received.</w:t>
            </w:r>
          </w:p>
        </w:tc>
      </w:tr>
    </w:tbl>
    <w:p w14:paraId="3762F52E" w14:textId="77777777" w:rsidR="007518E6" w:rsidRDefault="007518E6" w:rsidP="00E81553"/>
    <w:p w14:paraId="097C3E20" w14:textId="77777777" w:rsidR="009E262B" w:rsidRDefault="009E262B" w:rsidP="009E262B">
      <w:pPr>
        <w:pStyle w:val="Caption"/>
        <w:keepNext/>
        <w:jc w:val="center"/>
      </w:pPr>
      <w:r>
        <w:t xml:space="preserve">Table </w:t>
      </w:r>
      <w:fldSimple w:instr=" SEQ Table \* ARABIC ">
        <w:r>
          <w:rPr>
            <w:noProof/>
          </w:rPr>
          <w:t>2</w:t>
        </w:r>
      </w:fldSimple>
      <w:r>
        <w:t xml:space="preserve"> - </w:t>
      </w:r>
      <w:r w:rsidRPr="00D62C50">
        <w:t>Collaborative Activity</w:t>
      </w:r>
      <w:r>
        <w:t>.</w:t>
      </w:r>
    </w:p>
    <w:tbl>
      <w:tblPr>
        <w:tblStyle w:val="TableGrid"/>
        <w:tblW w:w="9355" w:type="dxa"/>
        <w:tblLayout w:type="fixed"/>
        <w:tblLook w:val="04A0" w:firstRow="1" w:lastRow="0" w:firstColumn="1" w:lastColumn="0" w:noHBand="0" w:noVBand="1"/>
      </w:tblPr>
      <w:tblGrid>
        <w:gridCol w:w="1254"/>
        <w:gridCol w:w="721"/>
        <w:gridCol w:w="720"/>
        <w:gridCol w:w="6"/>
        <w:gridCol w:w="6654"/>
      </w:tblGrid>
      <w:tr w:rsidR="009E262B" w:rsidRPr="007866A7" w14:paraId="4CEC1905" w14:textId="77777777" w:rsidTr="00FC2281">
        <w:tc>
          <w:tcPr>
            <w:tcW w:w="1254" w:type="dxa"/>
            <w:vAlign w:val="center"/>
          </w:tcPr>
          <w:p w14:paraId="7E681535" w14:textId="77777777" w:rsidR="009E262B" w:rsidRPr="007866A7" w:rsidRDefault="009E262B" w:rsidP="00BB5991">
            <w:pPr>
              <w:jc w:val="center"/>
              <w:rPr>
                <w:rFonts w:cstheme="minorHAnsi"/>
                <w:b/>
                <w:bCs/>
                <w:sz w:val="18"/>
                <w:szCs w:val="18"/>
              </w:rPr>
            </w:pPr>
            <w:r w:rsidRPr="007866A7">
              <w:rPr>
                <w:rFonts w:cstheme="minorHAnsi"/>
                <w:b/>
                <w:bCs/>
                <w:sz w:val="18"/>
                <w:szCs w:val="18"/>
              </w:rPr>
              <w:t>Task</w:t>
            </w:r>
          </w:p>
        </w:tc>
        <w:tc>
          <w:tcPr>
            <w:tcW w:w="721" w:type="dxa"/>
            <w:vAlign w:val="center"/>
          </w:tcPr>
          <w:p w14:paraId="7A028C4F" w14:textId="77777777" w:rsidR="009E262B" w:rsidRPr="007866A7" w:rsidRDefault="009E262B" w:rsidP="00BB5991">
            <w:pPr>
              <w:jc w:val="center"/>
              <w:rPr>
                <w:rFonts w:cstheme="minorHAnsi"/>
                <w:b/>
                <w:bCs/>
                <w:sz w:val="18"/>
                <w:szCs w:val="18"/>
              </w:rPr>
            </w:pPr>
            <w:r w:rsidRPr="007866A7">
              <w:rPr>
                <w:rFonts w:cstheme="minorHAnsi"/>
                <w:b/>
                <w:bCs/>
                <w:sz w:val="18"/>
                <w:szCs w:val="18"/>
              </w:rPr>
              <w:t>Due Date</w:t>
            </w:r>
          </w:p>
        </w:tc>
        <w:tc>
          <w:tcPr>
            <w:tcW w:w="726" w:type="dxa"/>
            <w:gridSpan w:val="2"/>
            <w:vAlign w:val="center"/>
          </w:tcPr>
          <w:p w14:paraId="4ECDAEDB" w14:textId="77777777" w:rsidR="009E262B" w:rsidRPr="007866A7" w:rsidRDefault="009E262B" w:rsidP="00BB5991">
            <w:pPr>
              <w:jc w:val="center"/>
              <w:rPr>
                <w:rFonts w:cstheme="minorHAnsi"/>
                <w:b/>
                <w:bCs/>
                <w:sz w:val="18"/>
                <w:szCs w:val="18"/>
              </w:rPr>
            </w:pPr>
            <w:r w:rsidRPr="007866A7">
              <w:rPr>
                <w:rFonts w:cstheme="minorHAnsi"/>
                <w:b/>
                <w:bCs/>
                <w:sz w:val="18"/>
                <w:szCs w:val="18"/>
              </w:rPr>
              <w:t>Weight Reto</w:t>
            </w:r>
          </w:p>
        </w:tc>
        <w:tc>
          <w:tcPr>
            <w:tcW w:w="6654" w:type="dxa"/>
            <w:vAlign w:val="center"/>
          </w:tcPr>
          <w:p w14:paraId="43B9E0A6" w14:textId="77777777" w:rsidR="009E262B" w:rsidRPr="007866A7" w:rsidRDefault="009E262B" w:rsidP="00BB5991">
            <w:pPr>
              <w:jc w:val="both"/>
              <w:rPr>
                <w:rFonts w:cstheme="minorHAnsi"/>
                <w:b/>
                <w:bCs/>
                <w:sz w:val="18"/>
                <w:szCs w:val="18"/>
              </w:rPr>
            </w:pPr>
            <w:r w:rsidRPr="007866A7">
              <w:rPr>
                <w:rFonts w:cstheme="minorHAnsi"/>
                <w:b/>
                <w:bCs/>
                <w:sz w:val="18"/>
                <w:szCs w:val="18"/>
              </w:rPr>
              <w:t>Description</w:t>
            </w:r>
          </w:p>
        </w:tc>
      </w:tr>
      <w:tr w:rsidR="009E262B" w:rsidRPr="007866A7" w14:paraId="1EF49B99" w14:textId="77777777" w:rsidTr="00FC2281">
        <w:tc>
          <w:tcPr>
            <w:tcW w:w="1254" w:type="dxa"/>
            <w:vAlign w:val="center"/>
          </w:tcPr>
          <w:p w14:paraId="1888B10E" w14:textId="77777777" w:rsidR="009E262B" w:rsidRPr="007866A7" w:rsidRDefault="009E262B" w:rsidP="00BB5991">
            <w:pPr>
              <w:jc w:val="center"/>
              <w:rPr>
                <w:rFonts w:cstheme="minorHAnsi"/>
                <w:sz w:val="18"/>
                <w:szCs w:val="18"/>
              </w:rPr>
            </w:pPr>
            <w:r w:rsidRPr="007866A7">
              <w:rPr>
                <w:rFonts w:cstheme="minorHAnsi"/>
                <w:sz w:val="18"/>
                <w:szCs w:val="18"/>
              </w:rPr>
              <w:t>Step 1:  Project Setup</w:t>
            </w:r>
          </w:p>
        </w:tc>
        <w:tc>
          <w:tcPr>
            <w:tcW w:w="721" w:type="dxa"/>
            <w:vAlign w:val="center"/>
          </w:tcPr>
          <w:p w14:paraId="4EFD3090" w14:textId="77777777" w:rsidR="009E262B" w:rsidRPr="007866A7" w:rsidRDefault="009E262B" w:rsidP="00BB5991">
            <w:pPr>
              <w:jc w:val="center"/>
              <w:rPr>
                <w:rFonts w:cstheme="minorHAnsi"/>
                <w:sz w:val="18"/>
                <w:szCs w:val="18"/>
              </w:rPr>
            </w:pPr>
            <w:r w:rsidRPr="007866A7">
              <w:rPr>
                <w:rFonts w:cstheme="minorHAnsi"/>
                <w:sz w:val="18"/>
                <w:szCs w:val="18"/>
              </w:rPr>
              <w:t>11/11</w:t>
            </w:r>
          </w:p>
        </w:tc>
        <w:tc>
          <w:tcPr>
            <w:tcW w:w="720" w:type="dxa"/>
            <w:vAlign w:val="center"/>
          </w:tcPr>
          <w:p w14:paraId="623CF348" w14:textId="77777777" w:rsidR="009E262B" w:rsidRPr="007866A7" w:rsidRDefault="009E262B" w:rsidP="00BB5991">
            <w:pPr>
              <w:jc w:val="center"/>
              <w:rPr>
                <w:rFonts w:cstheme="minorHAnsi"/>
                <w:sz w:val="18"/>
                <w:szCs w:val="18"/>
              </w:rPr>
            </w:pPr>
            <w:r w:rsidRPr="007866A7">
              <w:rPr>
                <w:rFonts w:cstheme="minorHAnsi"/>
                <w:sz w:val="18"/>
                <w:szCs w:val="18"/>
              </w:rPr>
              <w:t>10%</w:t>
            </w:r>
          </w:p>
        </w:tc>
        <w:tc>
          <w:tcPr>
            <w:tcW w:w="6660" w:type="dxa"/>
            <w:gridSpan w:val="2"/>
            <w:vAlign w:val="center"/>
          </w:tcPr>
          <w:p w14:paraId="574DEB5E" w14:textId="77777777" w:rsidR="009E262B" w:rsidRPr="007866A7" w:rsidRDefault="009E262B" w:rsidP="00BB5991">
            <w:pPr>
              <w:jc w:val="both"/>
              <w:rPr>
                <w:rFonts w:cstheme="minorHAnsi"/>
                <w:sz w:val="18"/>
                <w:szCs w:val="18"/>
              </w:rPr>
            </w:pPr>
            <w:r w:rsidRPr="007866A7">
              <w:rPr>
                <w:rFonts w:cstheme="minorHAnsi"/>
                <w:sz w:val="18"/>
                <w:szCs w:val="18"/>
              </w:rPr>
              <w:t xml:space="preserve">During this activity, the students will identify the technical and non-technical requirements of the project using user stories, write the requirement documents, set the project in GitHub, design the basic architecture using UML, and define the essential ceremonies required for a well-organized project. Finally, the students will create a README file following these approaches: </w:t>
            </w:r>
          </w:p>
          <w:p w14:paraId="634B69A9" w14:textId="77777777" w:rsidR="009E262B" w:rsidRPr="007866A7" w:rsidRDefault="00000000" w:rsidP="009E262B">
            <w:pPr>
              <w:pStyle w:val="ListParagraph"/>
              <w:numPr>
                <w:ilvl w:val="0"/>
                <w:numId w:val="5"/>
              </w:numPr>
              <w:jc w:val="both"/>
              <w:rPr>
                <w:rFonts w:cstheme="minorHAnsi"/>
                <w:sz w:val="18"/>
                <w:szCs w:val="18"/>
              </w:rPr>
            </w:pPr>
            <w:hyperlink r:id="rId14" w:history="1">
              <w:r w:rsidR="009E262B" w:rsidRPr="007866A7">
                <w:rPr>
                  <w:rStyle w:val="Hyperlink"/>
                  <w:rFonts w:cstheme="minorHAnsi"/>
                  <w:sz w:val="18"/>
                  <w:szCs w:val="18"/>
                </w:rPr>
                <w:t>https://github.com/othneildrew/Best-README-Template</w:t>
              </w:r>
            </w:hyperlink>
            <w:r w:rsidR="009E262B" w:rsidRPr="007866A7">
              <w:rPr>
                <w:rFonts w:cstheme="minorHAnsi"/>
                <w:sz w:val="18"/>
                <w:szCs w:val="18"/>
              </w:rPr>
              <w:t xml:space="preserve">  </w:t>
            </w:r>
          </w:p>
          <w:p w14:paraId="5F21638A" w14:textId="77777777" w:rsidR="009E262B" w:rsidRPr="007866A7" w:rsidRDefault="00000000" w:rsidP="009E262B">
            <w:pPr>
              <w:pStyle w:val="ListParagraph"/>
              <w:numPr>
                <w:ilvl w:val="0"/>
                <w:numId w:val="5"/>
              </w:numPr>
              <w:jc w:val="both"/>
              <w:rPr>
                <w:rFonts w:cstheme="minorHAnsi"/>
                <w:sz w:val="18"/>
                <w:szCs w:val="18"/>
              </w:rPr>
            </w:pPr>
            <w:hyperlink r:id="rId15" w:history="1">
              <w:r w:rsidR="009E262B" w:rsidRPr="007866A7">
                <w:rPr>
                  <w:rStyle w:val="Hyperlink"/>
                  <w:rFonts w:cstheme="minorHAnsi"/>
                  <w:sz w:val="18"/>
                  <w:szCs w:val="18"/>
                </w:rPr>
                <w:t>https://www.freecodecamp.org/news/how-to-write-a-good-readme-file/</w:t>
              </w:r>
            </w:hyperlink>
            <w:r w:rsidR="009E262B" w:rsidRPr="007866A7">
              <w:rPr>
                <w:rFonts w:cstheme="minorHAnsi"/>
                <w:sz w:val="18"/>
                <w:szCs w:val="18"/>
              </w:rPr>
              <w:t xml:space="preserve"> </w:t>
            </w:r>
          </w:p>
        </w:tc>
      </w:tr>
      <w:tr w:rsidR="009E262B" w:rsidRPr="007866A7" w14:paraId="21CA33C9" w14:textId="77777777" w:rsidTr="00FC2281">
        <w:tc>
          <w:tcPr>
            <w:tcW w:w="1254" w:type="dxa"/>
            <w:vAlign w:val="center"/>
          </w:tcPr>
          <w:p w14:paraId="2901F6BA" w14:textId="555F2894" w:rsidR="009E262B" w:rsidRPr="007866A7" w:rsidRDefault="009E262B" w:rsidP="00BB5991">
            <w:pPr>
              <w:jc w:val="center"/>
              <w:rPr>
                <w:rFonts w:cstheme="minorHAnsi"/>
                <w:sz w:val="18"/>
                <w:szCs w:val="18"/>
              </w:rPr>
            </w:pPr>
            <w:r w:rsidRPr="007866A7">
              <w:rPr>
                <w:rFonts w:cstheme="minorHAnsi"/>
                <w:sz w:val="18"/>
                <w:szCs w:val="18"/>
              </w:rPr>
              <w:t xml:space="preserve">Step 2: Smart Sensor / Drones </w:t>
            </w:r>
            <w:r w:rsidR="008A0622" w:rsidRPr="007866A7">
              <w:rPr>
                <w:rFonts w:cstheme="minorHAnsi"/>
                <w:sz w:val="18"/>
                <w:szCs w:val="18"/>
              </w:rPr>
              <w:t>and</w:t>
            </w:r>
            <w:r w:rsidRPr="007866A7">
              <w:rPr>
                <w:rFonts w:cstheme="minorHAnsi"/>
                <w:sz w:val="18"/>
                <w:szCs w:val="18"/>
              </w:rPr>
              <w:t xml:space="preserve"> Connectivity</w:t>
            </w:r>
          </w:p>
        </w:tc>
        <w:tc>
          <w:tcPr>
            <w:tcW w:w="721" w:type="dxa"/>
            <w:vAlign w:val="center"/>
          </w:tcPr>
          <w:p w14:paraId="4B63159C" w14:textId="77777777" w:rsidR="009E262B" w:rsidRPr="007866A7" w:rsidRDefault="009E262B" w:rsidP="00BB5991">
            <w:pPr>
              <w:jc w:val="center"/>
              <w:rPr>
                <w:rFonts w:cstheme="minorHAnsi"/>
                <w:sz w:val="18"/>
                <w:szCs w:val="18"/>
              </w:rPr>
            </w:pPr>
            <w:r w:rsidRPr="007866A7">
              <w:rPr>
                <w:rFonts w:cstheme="minorHAnsi"/>
                <w:sz w:val="18"/>
                <w:szCs w:val="18"/>
              </w:rPr>
              <w:t>18/11</w:t>
            </w:r>
          </w:p>
        </w:tc>
        <w:tc>
          <w:tcPr>
            <w:tcW w:w="720" w:type="dxa"/>
            <w:vAlign w:val="center"/>
          </w:tcPr>
          <w:p w14:paraId="3340EBEC" w14:textId="77777777" w:rsidR="009E262B" w:rsidRPr="007866A7" w:rsidRDefault="009E262B" w:rsidP="00BB5991">
            <w:pPr>
              <w:jc w:val="center"/>
              <w:rPr>
                <w:rFonts w:cstheme="minorHAnsi"/>
                <w:sz w:val="18"/>
                <w:szCs w:val="18"/>
              </w:rPr>
            </w:pPr>
            <w:r w:rsidRPr="007866A7">
              <w:rPr>
                <w:rFonts w:cstheme="minorHAnsi"/>
                <w:sz w:val="18"/>
                <w:szCs w:val="18"/>
              </w:rPr>
              <w:t>10%</w:t>
            </w:r>
          </w:p>
        </w:tc>
        <w:tc>
          <w:tcPr>
            <w:tcW w:w="6660" w:type="dxa"/>
            <w:gridSpan w:val="2"/>
            <w:vAlign w:val="center"/>
          </w:tcPr>
          <w:p w14:paraId="5CA785F0" w14:textId="4C7DF348" w:rsidR="009E262B" w:rsidRPr="007866A7" w:rsidRDefault="009E262B" w:rsidP="00BB5991">
            <w:pPr>
              <w:jc w:val="both"/>
              <w:rPr>
                <w:rFonts w:cstheme="minorHAnsi"/>
                <w:sz w:val="18"/>
                <w:szCs w:val="18"/>
              </w:rPr>
            </w:pPr>
            <w:r w:rsidRPr="007866A7">
              <w:rPr>
                <w:rFonts w:cstheme="minorHAnsi"/>
                <w:sz w:val="18"/>
                <w:szCs w:val="18"/>
              </w:rPr>
              <w:t xml:space="preserve">During this activity, the students will implement the required </w:t>
            </w:r>
            <w:r w:rsidR="008A0622">
              <w:rPr>
                <w:rFonts w:cstheme="minorHAnsi"/>
                <w:sz w:val="18"/>
                <w:szCs w:val="18"/>
              </w:rPr>
              <w:t xml:space="preserve">app </w:t>
            </w:r>
            <w:r w:rsidRPr="007866A7">
              <w:rPr>
                <w:rFonts w:cstheme="minorHAnsi"/>
                <w:sz w:val="18"/>
                <w:szCs w:val="18"/>
              </w:rPr>
              <w:t xml:space="preserve">and integrate it with the drones in the emulated environment. Also, the students will update the README file </w:t>
            </w:r>
            <w:r w:rsidR="008A0622">
              <w:rPr>
                <w:rFonts w:cstheme="minorHAnsi"/>
                <w:sz w:val="18"/>
                <w:szCs w:val="18"/>
              </w:rPr>
              <w:t xml:space="preserve">and the other required documentation </w:t>
            </w:r>
            <w:r w:rsidRPr="007866A7">
              <w:rPr>
                <w:rFonts w:cstheme="minorHAnsi"/>
                <w:sz w:val="18"/>
                <w:szCs w:val="18"/>
              </w:rPr>
              <w:t>on GitHub.</w:t>
            </w:r>
          </w:p>
        </w:tc>
      </w:tr>
      <w:tr w:rsidR="009E262B" w:rsidRPr="007866A7" w14:paraId="04E88A51" w14:textId="77777777" w:rsidTr="00FC2281">
        <w:tc>
          <w:tcPr>
            <w:tcW w:w="1254" w:type="dxa"/>
            <w:vAlign w:val="center"/>
          </w:tcPr>
          <w:p w14:paraId="65317990" w14:textId="77777777" w:rsidR="009E262B" w:rsidRPr="007866A7" w:rsidRDefault="009E262B" w:rsidP="00BB5991">
            <w:pPr>
              <w:jc w:val="center"/>
              <w:rPr>
                <w:rFonts w:cstheme="minorHAnsi"/>
                <w:sz w:val="18"/>
                <w:szCs w:val="18"/>
              </w:rPr>
            </w:pPr>
            <w:r w:rsidRPr="007866A7">
              <w:rPr>
                <w:rFonts w:cstheme="minorHAnsi"/>
                <w:sz w:val="18"/>
                <w:szCs w:val="18"/>
              </w:rPr>
              <w:t>Step 3: IoT Network &amp; P2p Drone Network</w:t>
            </w:r>
          </w:p>
        </w:tc>
        <w:tc>
          <w:tcPr>
            <w:tcW w:w="721" w:type="dxa"/>
            <w:vAlign w:val="center"/>
          </w:tcPr>
          <w:p w14:paraId="36117775" w14:textId="77777777" w:rsidR="009E262B" w:rsidRPr="007866A7" w:rsidRDefault="009E262B" w:rsidP="00BB5991">
            <w:pPr>
              <w:jc w:val="center"/>
              <w:rPr>
                <w:rFonts w:cstheme="minorHAnsi"/>
                <w:sz w:val="18"/>
                <w:szCs w:val="18"/>
              </w:rPr>
            </w:pPr>
            <w:r w:rsidRPr="007866A7">
              <w:rPr>
                <w:rFonts w:cstheme="minorHAnsi"/>
                <w:sz w:val="18"/>
                <w:szCs w:val="18"/>
              </w:rPr>
              <w:t>25/11</w:t>
            </w:r>
          </w:p>
        </w:tc>
        <w:tc>
          <w:tcPr>
            <w:tcW w:w="720" w:type="dxa"/>
            <w:vAlign w:val="center"/>
          </w:tcPr>
          <w:p w14:paraId="57209DCB" w14:textId="77777777" w:rsidR="009E262B" w:rsidRPr="007866A7" w:rsidRDefault="009E262B" w:rsidP="00BB5991">
            <w:pPr>
              <w:jc w:val="center"/>
              <w:rPr>
                <w:rFonts w:cstheme="minorHAnsi"/>
                <w:sz w:val="18"/>
                <w:szCs w:val="18"/>
              </w:rPr>
            </w:pPr>
            <w:r w:rsidRPr="007866A7">
              <w:rPr>
                <w:rFonts w:cstheme="minorHAnsi"/>
                <w:sz w:val="18"/>
                <w:szCs w:val="18"/>
              </w:rPr>
              <w:t>10%</w:t>
            </w:r>
          </w:p>
        </w:tc>
        <w:tc>
          <w:tcPr>
            <w:tcW w:w="6660" w:type="dxa"/>
            <w:gridSpan w:val="2"/>
            <w:vAlign w:val="center"/>
          </w:tcPr>
          <w:p w14:paraId="195249DE" w14:textId="7E3F1B7F" w:rsidR="009E262B" w:rsidRPr="007866A7" w:rsidRDefault="009E262B" w:rsidP="00BB5991">
            <w:pPr>
              <w:jc w:val="both"/>
              <w:rPr>
                <w:rFonts w:cstheme="minorHAnsi"/>
                <w:sz w:val="18"/>
                <w:szCs w:val="18"/>
              </w:rPr>
            </w:pPr>
            <w:r w:rsidRPr="007866A7">
              <w:rPr>
                <w:rFonts w:cstheme="minorHAnsi"/>
                <w:sz w:val="18"/>
                <w:szCs w:val="18"/>
              </w:rPr>
              <w:t xml:space="preserve">During this activity, the students will analyze the best options to implement the IoT Network as the P2P drone network. They will develop the Command &amp; Control Dashboard and functionalities to provide situation awareness to the Rescue Teams. Also, the students will update the </w:t>
            </w:r>
            <w:r w:rsidR="0004343A">
              <w:rPr>
                <w:rFonts w:cstheme="minorHAnsi"/>
                <w:sz w:val="18"/>
                <w:szCs w:val="18"/>
              </w:rPr>
              <w:t xml:space="preserve">documentation </w:t>
            </w:r>
            <w:r w:rsidRPr="007866A7">
              <w:rPr>
                <w:rFonts w:cstheme="minorHAnsi"/>
                <w:sz w:val="18"/>
                <w:szCs w:val="18"/>
              </w:rPr>
              <w:t>on GitHub.</w:t>
            </w:r>
          </w:p>
        </w:tc>
      </w:tr>
      <w:tr w:rsidR="009E262B" w:rsidRPr="007866A7" w14:paraId="16894B3E" w14:textId="77777777" w:rsidTr="00FC2281">
        <w:tc>
          <w:tcPr>
            <w:tcW w:w="1254" w:type="dxa"/>
            <w:vAlign w:val="center"/>
          </w:tcPr>
          <w:p w14:paraId="680EEF89" w14:textId="77777777" w:rsidR="009E262B" w:rsidRPr="007866A7" w:rsidRDefault="009E262B" w:rsidP="00BB5991">
            <w:pPr>
              <w:jc w:val="center"/>
              <w:rPr>
                <w:rFonts w:cstheme="minorHAnsi"/>
                <w:sz w:val="18"/>
                <w:szCs w:val="18"/>
              </w:rPr>
            </w:pPr>
            <w:r w:rsidRPr="007866A7">
              <w:rPr>
                <w:rFonts w:cstheme="minorHAnsi"/>
                <w:sz w:val="18"/>
                <w:szCs w:val="18"/>
              </w:rPr>
              <w:t>Step 4: Final Presentation</w:t>
            </w:r>
          </w:p>
        </w:tc>
        <w:tc>
          <w:tcPr>
            <w:tcW w:w="721" w:type="dxa"/>
            <w:vAlign w:val="center"/>
          </w:tcPr>
          <w:p w14:paraId="200837C2" w14:textId="77777777" w:rsidR="009E262B" w:rsidRPr="007866A7" w:rsidRDefault="009E262B" w:rsidP="00BB5991">
            <w:pPr>
              <w:jc w:val="center"/>
              <w:rPr>
                <w:rFonts w:cstheme="minorHAnsi"/>
                <w:sz w:val="18"/>
                <w:szCs w:val="18"/>
              </w:rPr>
            </w:pPr>
            <w:r w:rsidRPr="007866A7">
              <w:rPr>
                <w:rFonts w:cstheme="minorHAnsi"/>
                <w:sz w:val="18"/>
                <w:szCs w:val="18"/>
              </w:rPr>
              <w:t>2/12</w:t>
            </w:r>
          </w:p>
        </w:tc>
        <w:tc>
          <w:tcPr>
            <w:tcW w:w="720" w:type="dxa"/>
            <w:vAlign w:val="center"/>
          </w:tcPr>
          <w:p w14:paraId="764FD0E9" w14:textId="77777777" w:rsidR="009E262B" w:rsidRPr="007866A7" w:rsidRDefault="009E262B" w:rsidP="00BB5991">
            <w:pPr>
              <w:jc w:val="center"/>
              <w:rPr>
                <w:rFonts w:cstheme="minorHAnsi"/>
                <w:sz w:val="18"/>
                <w:szCs w:val="18"/>
              </w:rPr>
            </w:pPr>
            <w:r w:rsidRPr="007866A7">
              <w:rPr>
                <w:rFonts w:cstheme="minorHAnsi"/>
                <w:sz w:val="18"/>
                <w:szCs w:val="18"/>
              </w:rPr>
              <w:t>50%</w:t>
            </w:r>
          </w:p>
        </w:tc>
        <w:tc>
          <w:tcPr>
            <w:tcW w:w="6660" w:type="dxa"/>
            <w:gridSpan w:val="2"/>
            <w:vAlign w:val="center"/>
          </w:tcPr>
          <w:p w14:paraId="6F0E66C3" w14:textId="0BEB164D" w:rsidR="009E262B" w:rsidRPr="007866A7" w:rsidRDefault="009E262B" w:rsidP="00BB5991">
            <w:pPr>
              <w:jc w:val="both"/>
              <w:rPr>
                <w:rFonts w:cstheme="minorHAnsi"/>
                <w:sz w:val="18"/>
                <w:szCs w:val="18"/>
              </w:rPr>
            </w:pPr>
            <w:r w:rsidRPr="007866A7">
              <w:rPr>
                <w:rFonts w:cstheme="minorHAnsi"/>
                <w:sz w:val="18"/>
                <w:szCs w:val="18"/>
              </w:rPr>
              <w:t xml:space="preserve">During this activity, the students will finalize the system, summarize their findings in the </w:t>
            </w:r>
            <w:r w:rsidR="0004343A">
              <w:rPr>
                <w:rFonts w:cstheme="minorHAnsi"/>
                <w:sz w:val="18"/>
                <w:szCs w:val="18"/>
              </w:rPr>
              <w:t xml:space="preserve">documentation </w:t>
            </w:r>
            <w:r w:rsidRPr="007866A7">
              <w:rPr>
                <w:rFonts w:cstheme="minorHAnsi"/>
                <w:sz w:val="18"/>
                <w:szCs w:val="18"/>
              </w:rPr>
              <w:t>file, and produce a HOWTO document showing how to set up and use the system. Also, they will participate in a seminar, where each group will present its result to an evaluation committee.</w:t>
            </w:r>
          </w:p>
        </w:tc>
      </w:tr>
    </w:tbl>
    <w:p w14:paraId="2C183B81" w14:textId="77777777" w:rsidR="009E262B" w:rsidRDefault="009E262B" w:rsidP="009E262B">
      <w:pPr>
        <w:jc w:val="both"/>
        <w:rPr>
          <w:rFonts w:ascii="Arial" w:hAnsi="Arial" w:cs="Arial"/>
        </w:rPr>
      </w:pPr>
    </w:p>
    <w:p w14:paraId="72D60FA0" w14:textId="77777777" w:rsidR="008A0622" w:rsidRDefault="008A0622">
      <w:pPr>
        <w:rPr>
          <w:i/>
          <w:iCs/>
          <w:color w:val="44546A" w:themeColor="text2"/>
          <w:sz w:val="18"/>
          <w:szCs w:val="18"/>
        </w:rPr>
      </w:pPr>
      <w:r>
        <w:br w:type="page"/>
      </w:r>
    </w:p>
    <w:p w14:paraId="7C8E7EE5" w14:textId="6C43746B" w:rsidR="00550FD1" w:rsidRDefault="00550FD1" w:rsidP="00550FD1">
      <w:pPr>
        <w:pStyle w:val="Caption"/>
        <w:keepNext/>
        <w:jc w:val="center"/>
      </w:pPr>
      <w:r>
        <w:lastRenderedPageBreak/>
        <w:t xml:space="preserve">Table </w:t>
      </w:r>
      <w:fldSimple w:instr=" SEQ Table \* ARABIC ">
        <w:r>
          <w:rPr>
            <w:noProof/>
          </w:rPr>
          <w:t>3</w:t>
        </w:r>
      </w:fldSimple>
      <w:r>
        <w:t xml:space="preserve"> – Reflection Activity.</w:t>
      </w:r>
    </w:p>
    <w:tbl>
      <w:tblPr>
        <w:tblStyle w:val="TableGrid"/>
        <w:tblW w:w="9445" w:type="dxa"/>
        <w:tblLayout w:type="fixed"/>
        <w:tblLook w:val="04A0" w:firstRow="1" w:lastRow="0" w:firstColumn="1" w:lastColumn="0" w:noHBand="0" w:noVBand="1"/>
      </w:tblPr>
      <w:tblGrid>
        <w:gridCol w:w="1254"/>
        <w:gridCol w:w="631"/>
        <w:gridCol w:w="810"/>
        <w:gridCol w:w="6"/>
        <w:gridCol w:w="6744"/>
      </w:tblGrid>
      <w:tr w:rsidR="00550FD1" w:rsidRPr="008A0622" w14:paraId="498A3B0D" w14:textId="77777777" w:rsidTr="00550FD1">
        <w:tc>
          <w:tcPr>
            <w:tcW w:w="1254" w:type="dxa"/>
            <w:vAlign w:val="center"/>
          </w:tcPr>
          <w:p w14:paraId="01A7002C" w14:textId="77777777" w:rsidR="00550FD1" w:rsidRPr="008A0622" w:rsidRDefault="00550FD1" w:rsidP="00BB5991">
            <w:pPr>
              <w:jc w:val="center"/>
              <w:rPr>
                <w:rFonts w:cstheme="minorHAnsi"/>
                <w:b/>
                <w:bCs/>
                <w:sz w:val="18"/>
                <w:szCs w:val="18"/>
              </w:rPr>
            </w:pPr>
            <w:r w:rsidRPr="008A0622">
              <w:rPr>
                <w:rFonts w:cstheme="minorHAnsi"/>
                <w:b/>
                <w:bCs/>
                <w:sz w:val="18"/>
                <w:szCs w:val="18"/>
              </w:rPr>
              <w:t>Task</w:t>
            </w:r>
          </w:p>
        </w:tc>
        <w:tc>
          <w:tcPr>
            <w:tcW w:w="631" w:type="dxa"/>
            <w:vAlign w:val="center"/>
          </w:tcPr>
          <w:p w14:paraId="7EBE3787" w14:textId="77777777" w:rsidR="00550FD1" w:rsidRPr="008A0622" w:rsidRDefault="00550FD1" w:rsidP="00BB5991">
            <w:pPr>
              <w:jc w:val="center"/>
              <w:rPr>
                <w:rFonts w:cstheme="minorHAnsi"/>
                <w:b/>
                <w:bCs/>
                <w:sz w:val="18"/>
                <w:szCs w:val="18"/>
              </w:rPr>
            </w:pPr>
            <w:r w:rsidRPr="008A0622">
              <w:rPr>
                <w:rFonts w:cstheme="minorHAnsi"/>
                <w:b/>
                <w:bCs/>
                <w:sz w:val="18"/>
                <w:szCs w:val="18"/>
              </w:rPr>
              <w:t>Due Date</w:t>
            </w:r>
          </w:p>
        </w:tc>
        <w:tc>
          <w:tcPr>
            <w:tcW w:w="816" w:type="dxa"/>
            <w:gridSpan w:val="2"/>
            <w:vAlign w:val="center"/>
          </w:tcPr>
          <w:p w14:paraId="626521F0" w14:textId="77777777" w:rsidR="00550FD1" w:rsidRPr="008A0622" w:rsidRDefault="00550FD1" w:rsidP="00BB5991">
            <w:pPr>
              <w:jc w:val="center"/>
              <w:rPr>
                <w:rFonts w:cstheme="minorHAnsi"/>
                <w:b/>
                <w:bCs/>
                <w:sz w:val="18"/>
                <w:szCs w:val="18"/>
              </w:rPr>
            </w:pPr>
            <w:r w:rsidRPr="008A0622">
              <w:rPr>
                <w:rFonts w:cstheme="minorHAnsi"/>
                <w:b/>
                <w:bCs/>
                <w:sz w:val="18"/>
                <w:szCs w:val="18"/>
              </w:rPr>
              <w:t>Weight Reto</w:t>
            </w:r>
          </w:p>
        </w:tc>
        <w:tc>
          <w:tcPr>
            <w:tcW w:w="6744" w:type="dxa"/>
            <w:vAlign w:val="center"/>
          </w:tcPr>
          <w:p w14:paraId="5CD3EF25" w14:textId="77777777" w:rsidR="00550FD1" w:rsidRPr="008A0622" w:rsidRDefault="00550FD1" w:rsidP="00BB5991">
            <w:pPr>
              <w:jc w:val="both"/>
              <w:rPr>
                <w:rFonts w:cstheme="minorHAnsi"/>
                <w:b/>
                <w:bCs/>
                <w:sz w:val="18"/>
                <w:szCs w:val="18"/>
              </w:rPr>
            </w:pPr>
            <w:r w:rsidRPr="008A0622">
              <w:rPr>
                <w:rFonts w:cstheme="minorHAnsi"/>
                <w:b/>
                <w:bCs/>
                <w:sz w:val="18"/>
                <w:szCs w:val="18"/>
              </w:rPr>
              <w:t>Description</w:t>
            </w:r>
          </w:p>
        </w:tc>
      </w:tr>
      <w:tr w:rsidR="00550FD1" w:rsidRPr="008A0622" w14:paraId="50CD0DE5" w14:textId="77777777" w:rsidTr="00550FD1">
        <w:tc>
          <w:tcPr>
            <w:tcW w:w="1254" w:type="dxa"/>
            <w:vAlign w:val="center"/>
          </w:tcPr>
          <w:p w14:paraId="57084F0B" w14:textId="77777777" w:rsidR="00550FD1" w:rsidRPr="008A0622" w:rsidRDefault="00550FD1" w:rsidP="00BB5991">
            <w:pPr>
              <w:jc w:val="center"/>
              <w:rPr>
                <w:rFonts w:cstheme="minorHAnsi"/>
                <w:sz w:val="18"/>
                <w:szCs w:val="18"/>
              </w:rPr>
            </w:pPr>
            <w:r w:rsidRPr="008A0622">
              <w:rPr>
                <w:rFonts w:cstheme="minorHAnsi"/>
                <w:sz w:val="18"/>
                <w:szCs w:val="18"/>
              </w:rPr>
              <w:t>Reflection</w:t>
            </w:r>
          </w:p>
        </w:tc>
        <w:tc>
          <w:tcPr>
            <w:tcW w:w="631" w:type="dxa"/>
            <w:vAlign w:val="center"/>
          </w:tcPr>
          <w:p w14:paraId="74CD335B" w14:textId="77777777" w:rsidR="00550FD1" w:rsidRPr="008A0622" w:rsidRDefault="00550FD1" w:rsidP="00BB5991">
            <w:pPr>
              <w:jc w:val="center"/>
              <w:rPr>
                <w:rFonts w:cstheme="minorHAnsi"/>
                <w:sz w:val="18"/>
                <w:szCs w:val="18"/>
              </w:rPr>
            </w:pPr>
            <w:r w:rsidRPr="008A0622">
              <w:rPr>
                <w:rFonts w:cstheme="minorHAnsi"/>
                <w:sz w:val="18"/>
                <w:szCs w:val="18"/>
              </w:rPr>
              <w:t>2/12</w:t>
            </w:r>
          </w:p>
        </w:tc>
        <w:tc>
          <w:tcPr>
            <w:tcW w:w="810" w:type="dxa"/>
            <w:vAlign w:val="center"/>
          </w:tcPr>
          <w:p w14:paraId="7F382C81" w14:textId="77777777" w:rsidR="00550FD1" w:rsidRPr="008A0622" w:rsidRDefault="00550FD1" w:rsidP="00BB5991">
            <w:pPr>
              <w:jc w:val="center"/>
              <w:rPr>
                <w:rFonts w:cstheme="minorHAnsi"/>
                <w:sz w:val="18"/>
                <w:szCs w:val="18"/>
              </w:rPr>
            </w:pPr>
            <w:r w:rsidRPr="008A0622">
              <w:rPr>
                <w:rFonts w:cstheme="minorHAnsi"/>
                <w:sz w:val="18"/>
                <w:szCs w:val="18"/>
              </w:rPr>
              <w:t>10%</w:t>
            </w:r>
          </w:p>
        </w:tc>
        <w:tc>
          <w:tcPr>
            <w:tcW w:w="6750" w:type="dxa"/>
            <w:gridSpan w:val="2"/>
            <w:vAlign w:val="center"/>
          </w:tcPr>
          <w:p w14:paraId="29105A35" w14:textId="1A9663D8" w:rsidR="00550FD1" w:rsidRPr="008A0622" w:rsidRDefault="00550FD1" w:rsidP="00BB5991">
            <w:pPr>
              <w:jc w:val="both"/>
              <w:rPr>
                <w:rFonts w:cstheme="minorHAnsi"/>
                <w:sz w:val="18"/>
                <w:szCs w:val="18"/>
              </w:rPr>
            </w:pPr>
            <w:r w:rsidRPr="008A0622">
              <w:rPr>
                <w:rFonts w:cstheme="minorHAnsi"/>
                <w:sz w:val="18"/>
                <w:szCs w:val="18"/>
              </w:rPr>
              <w:t>Just as you did during the Icebreaker, go to the assigned Padlet</w:t>
            </w:r>
            <w:r w:rsidR="00320526">
              <w:rPr>
                <w:rFonts w:cstheme="minorHAnsi"/>
                <w:sz w:val="18"/>
                <w:szCs w:val="18"/>
              </w:rPr>
              <w:t>-</w:t>
            </w:r>
            <w:proofErr w:type="gramStart"/>
            <w:r w:rsidRPr="008A0622">
              <w:rPr>
                <w:rFonts w:cstheme="minorHAnsi"/>
                <w:sz w:val="18"/>
                <w:szCs w:val="18"/>
              </w:rPr>
              <w:t>board</w:t>
            </w:r>
            <w:proofErr w:type="gramEnd"/>
            <w:r w:rsidRPr="008A0622">
              <w:rPr>
                <w:rFonts w:cstheme="minorHAnsi"/>
                <w:sz w:val="18"/>
                <w:szCs w:val="18"/>
              </w:rPr>
              <w:t xml:space="preserve"> and create a new video sharing your thoughts about our experience considering the following: </w:t>
            </w:r>
          </w:p>
          <w:p w14:paraId="73617B24" w14:textId="77777777" w:rsidR="00550FD1" w:rsidRPr="008A0622" w:rsidRDefault="00550FD1" w:rsidP="00BB5991">
            <w:pPr>
              <w:jc w:val="both"/>
              <w:rPr>
                <w:rFonts w:cstheme="minorHAnsi"/>
                <w:sz w:val="18"/>
                <w:szCs w:val="18"/>
              </w:rPr>
            </w:pPr>
            <w:r w:rsidRPr="008A0622">
              <w:rPr>
                <w:rFonts w:cstheme="minorHAnsi"/>
                <w:sz w:val="18"/>
                <w:szCs w:val="18"/>
              </w:rPr>
              <w:t xml:space="preserve"> </w:t>
            </w:r>
          </w:p>
          <w:p w14:paraId="7DBE16C0" w14:textId="77777777" w:rsidR="00550FD1" w:rsidRPr="008A0622" w:rsidRDefault="00550FD1" w:rsidP="00550FD1">
            <w:pPr>
              <w:pStyle w:val="ListParagraph"/>
              <w:numPr>
                <w:ilvl w:val="0"/>
                <w:numId w:val="6"/>
              </w:numPr>
              <w:jc w:val="both"/>
              <w:rPr>
                <w:rFonts w:cstheme="minorHAnsi"/>
                <w:sz w:val="18"/>
                <w:szCs w:val="18"/>
              </w:rPr>
            </w:pPr>
            <w:r w:rsidRPr="008A0622">
              <w:rPr>
                <w:rFonts w:cstheme="minorHAnsi"/>
                <w:sz w:val="18"/>
                <w:szCs w:val="18"/>
              </w:rPr>
              <w:t>How do you think your cultural background impacts how you interact and negotiate with others?</w:t>
            </w:r>
          </w:p>
          <w:p w14:paraId="007BBB91" w14:textId="77777777" w:rsidR="00550FD1" w:rsidRPr="008A0622" w:rsidRDefault="00550FD1" w:rsidP="00550FD1">
            <w:pPr>
              <w:pStyle w:val="ListParagraph"/>
              <w:numPr>
                <w:ilvl w:val="0"/>
                <w:numId w:val="6"/>
              </w:numPr>
              <w:jc w:val="both"/>
              <w:rPr>
                <w:rFonts w:cstheme="minorHAnsi"/>
                <w:sz w:val="18"/>
                <w:szCs w:val="18"/>
              </w:rPr>
            </w:pPr>
            <w:r w:rsidRPr="008A0622">
              <w:rPr>
                <w:rFonts w:cstheme="minorHAnsi"/>
                <w:sz w:val="18"/>
                <w:szCs w:val="18"/>
              </w:rPr>
              <w:t>Has collaboration with international peers impacted your learning experience?</w:t>
            </w:r>
          </w:p>
          <w:p w14:paraId="25D747E0" w14:textId="77777777" w:rsidR="00550FD1" w:rsidRPr="008A0622" w:rsidRDefault="00550FD1" w:rsidP="00550FD1">
            <w:pPr>
              <w:pStyle w:val="ListParagraph"/>
              <w:numPr>
                <w:ilvl w:val="0"/>
                <w:numId w:val="6"/>
              </w:numPr>
              <w:jc w:val="both"/>
              <w:rPr>
                <w:rFonts w:cstheme="minorHAnsi"/>
                <w:sz w:val="18"/>
                <w:szCs w:val="18"/>
              </w:rPr>
            </w:pPr>
            <w:r w:rsidRPr="008A0622">
              <w:rPr>
                <w:rFonts w:cstheme="minorHAnsi"/>
                <w:sz w:val="18"/>
                <w:szCs w:val="18"/>
              </w:rPr>
              <w:t>After this experience, are there any changes in your worldview?</w:t>
            </w:r>
          </w:p>
          <w:p w14:paraId="4EED1792" w14:textId="77777777" w:rsidR="00550FD1" w:rsidRPr="008A0622" w:rsidRDefault="00550FD1" w:rsidP="00BB5991">
            <w:pPr>
              <w:jc w:val="both"/>
              <w:rPr>
                <w:rFonts w:cstheme="minorHAnsi"/>
                <w:sz w:val="18"/>
                <w:szCs w:val="18"/>
              </w:rPr>
            </w:pPr>
            <w:r w:rsidRPr="008A0622">
              <w:rPr>
                <w:rFonts w:cstheme="minorHAnsi"/>
                <w:sz w:val="18"/>
                <w:szCs w:val="18"/>
              </w:rPr>
              <w:t xml:space="preserve"> </w:t>
            </w:r>
          </w:p>
          <w:p w14:paraId="78AE0E0C" w14:textId="77777777" w:rsidR="00550FD1" w:rsidRPr="008A0622" w:rsidRDefault="00550FD1" w:rsidP="00BB5991">
            <w:pPr>
              <w:jc w:val="both"/>
              <w:rPr>
                <w:rFonts w:cstheme="minorHAnsi"/>
                <w:sz w:val="18"/>
                <w:szCs w:val="18"/>
              </w:rPr>
            </w:pPr>
            <w:r w:rsidRPr="008A0622">
              <w:rPr>
                <w:rFonts w:cstheme="minorHAnsi"/>
                <w:sz w:val="18"/>
                <w:szCs w:val="18"/>
              </w:rPr>
              <w:t xml:space="preserve">You don't have to answer each question individually; it would be better to take these questions as a guide to constructing a complete reflection. </w:t>
            </w:r>
          </w:p>
          <w:p w14:paraId="485DC7F6" w14:textId="77777777" w:rsidR="00550FD1" w:rsidRPr="008A0622" w:rsidRDefault="00550FD1" w:rsidP="00BB5991">
            <w:pPr>
              <w:jc w:val="both"/>
              <w:rPr>
                <w:rFonts w:cstheme="minorHAnsi"/>
                <w:sz w:val="18"/>
                <w:szCs w:val="18"/>
              </w:rPr>
            </w:pPr>
            <w:r w:rsidRPr="008A0622">
              <w:rPr>
                <w:rFonts w:cstheme="minorHAnsi"/>
                <w:sz w:val="18"/>
                <w:szCs w:val="18"/>
              </w:rPr>
              <w:t>Remember, posting a video (1-3 min max) will be great, but you can also post it as a text (no text limit).</w:t>
            </w:r>
          </w:p>
        </w:tc>
      </w:tr>
    </w:tbl>
    <w:p w14:paraId="659AE8C0" w14:textId="77777777" w:rsidR="00550FD1" w:rsidRPr="00473A30" w:rsidRDefault="00550FD1" w:rsidP="00550FD1"/>
    <w:p w14:paraId="568A0F5D" w14:textId="77777777" w:rsidR="009E262B" w:rsidRPr="007518E6" w:rsidRDefault="009E262B" w:rsidP="00550FD1">
      <w:pPr>
        <w:spacing w:after="240" w:line="360" w:lineRule="auto"/>
        <w:jc w:val="both"/>
      </w:pPr>
    </w:p>
    <w:sectPr w:rsidR="009E262B" w:rsidRPr="00751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52C2" w14:textId="77777777" w:rsidR="00DE048F" w:rsidRDefault="00DE048F" w:rsidP="002626EA">
      <w:pPr>
        <w:spacing w:after="0" w:line="240" w:lineRule="auto"/>
      </w:pPr>
      <w:r>
        <w:separator/>
      </w:r>
    </w:p>
  </w:endnote>
  <w:endnote w:type="continuationSeparator" w:id="0">
    <w:p w14:paraId="0B47AB5C" w14:textId="77777777" w:rsidR="00DE048F" w:rsidRDefault="00DE048F" w:rsidP="0026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E739" w14:textId="77777777" w:rsidR="00DE048F" w:rsidRDefault="00DE048F" w:rsidP="002626EA">
      <w:pPr>
        <w:spacing w:after="0" w:line="240" w:lineRule="auto"/>
      </w:pPr>
      <w:r>
        <w:separator/>
      </w:r>
    </w:p>
  </w:footnote>
  <w:footnote w:type="continuationSeparator" w:id="0">
    <w:p w14:paraId="2AF22680" w14:textId="77777777" w:rsidR="00DE048F" w:rsidRDefault="00DE048F" w:rsidP="002626EA">
      <w:pPr>
        <w:spacing w:after="0" w:line="240" w:lineRule="auto"/>
      </w:pPr>
      <w:r>
        <w:continuationSeparator/>
      </w:r>
    </w:p>
  </w:footnote>
  <w:footnote w:id="1">
    <w:p w14:paraId="39E3CCFA" w14:textId="7B46CF1C" w:rsidR="0055381B" w:rsidRDefault="0055381B">
      <w:pPr>
        <w:pStyle w:val="FootnoteText"/>
      </w:pPr>
      <w:r>
        <w:rPr>
          <w:rStyle w:val="FootnoteReference"/>
        </w:rPr>
        <w:footnoteRef/>
      </w:r>
      <w:r>
        <w:t xml:space="preserve"> </w:t>
      </w:r>
      <w:hyperlink r:id="rId1" w:history="1">
        <w:r w:rsidR="00F666E6" w:rsidRPr="00053830">
          <w:rPr>
            <w:rStyle w:val="Hyperlink"/>
          </w:rPr>
          <w:t>https://tec.mx/en</w:t>
        </w:r>
      </w:hyperlink>
      <w:r w:rsidR="00F666E6">
        <w:t xml:space="preserve"> </w:t>
      </w:r>
    </w:p>
  </w:footnote>
  <w:footnote w:id="2">
    <w:p w14:paraId="6B7F7700" w14:textId="7ADAA45D" w:rsidR="0055381B" w:rsidRDefault="0055381B">
      <w:pPr>
        <w:pStyle w:val="FootnoteText"/>
      </w:pPr>
      <w:r>
        <w:rPr>
          <w:rStyle w:val="FootnoteReference"/>
        </w:rPr>
        <w:footnoteRef/>
      </w:r>
      <w:r>
        <w:t xml:space="preserve"> </w:t>
      </w:r>
      <w:hyperlink r:id="rId2" w:history="1">
        <w:r w:rsidR="00F666E6" w:rsidRPr="00053830">
          <w:rPr>
            <w:rStyle w:val="Hyperlink"/>
          </w:rPr>
          <w:t>https://tec21connect.com/</w:t>
        </w:r>
      </w:hyperlink>
      <w:r w:rsidR="00F666E6">
        <w:t xml:space="preserve"> </w:t>
      </w:r>
    </w:p>
  </w:footnote>
  <w:footnote w:id="3">
    <w:p w14:paraId="31D7960E" w14:textId="07B691B3" w:rsidR="00F666E6" w:rsidRDefault="00F666E6">
      <w:pPr>
        <w:pStyle w:val="FootnoteText"/>
      </w:pPr>
      <w:r>
        <w:rPr>
          <w:rStyle w:val="FootnoteReference"/>
        </w:rPr>
        <w:footnoteRef/>
      </w:r>
      <w:r>
        <w:t xml:space="preserve"> </w:t>
      </w:r>
      <w:hyperlink r:id="rId3" w:history="1">
        <w:r w:rsidRPr="00053830">
          <w:rPr>
            <w:rStyle w:val="Hyperlink"/>
          </w:rPr>
          <w:t>https://global.tec.mx/en/global-shared-learning</w:t>
        </w:r>
      </w:hyperlink>
      <w:r>
        <w:t xml:space="preserve"> </w:t>
      </w:r>
    </w:p>
  </w:footnote>
  <w:footnote w:id="4">
    <w:p w14:paraId="74E9C39C" w14:textId="07D08EA8" w:rsidR="00436C4B" w:rsidRDefault="00436C4B">
      <w:pPr>
        <w:pStyle w:val="FootnoteText"/>
      </w:pPr>
      <w:r>
        <w:rPr>
          <w:rStyle w:val="FootnoteReference"/>
        </w:rPr>
        <w:footnoteRef/>
      </w:r>
      <w:r>
        <w:t xml:space="preserve"> </w:t>
      </w:r>
      <w:hyperlink r:id="rId4" w:history="1">
        <w:r w:rsidRPr="00053830">
          <w:rPr>
            <w:rStyle w:val="Hyperlink"/>
          </w:rPr>
          <w:t>http://www.ita.br/</w:t>
        </w:r>
      </w:hyperlink>
      <w:r>
        <w:t xml:space="preserve"> </w:t>
      </w:r>
    </w:p>
  </w:footnote>
  <w:footnote w:id="5">
    <w:p w14:paraId="215109C7" w14:textId="77777777" w:rsidR="0078242D" w:rsidRDefault="0078242D" w:rsidP="0078242D">
      <w:pPr>
        <w:pStyle w:val="FootnoteText"/>
      </w:pPr>
      <w:r>
        <w:rPr>
          <w:rStyle w:val="FootnoteReference"/>
        </w:rPr>
        <w:footnoteRef/>
      </w:r>
      <w:r>
        <w:t xml:space="preserve"> </w:t>
      </w:r>
      <w:proofErr w:type="spellStart"/>
      <w:r w:rsidRPr="00FD1809">
        <w:t>Tammineedi</w:t>
      </w:r>
      <w:proofErr w:type="spellEnd"/>
      <w:r w:rsidRPr="00FD1809">
        <w:t xml:space="preserve">, Rama </w:t>
      </w:r>
      <w:proofErr w:type="spellStart"/>
      <w:r w:rsidRPr="00FD1809">
        <w:t>Lingeswara</w:t>
      </w:r>
      <w:proofErr w:type="spellEnd"/>
      <w:r w:rsidRPr="00FD1809">
        <w:t>. "Business continuity management: A standards-based approach." Information Security Journal: A Global Perspective 19.1 (2010): 36-50.</w:t>
      </w:r>
    </w:p>
  </w:footnote>
  <w:footnote w:id="6">
    <w:p w14:paraId="711DB9DB" w14:textId="1BFCC920" w:rsidR="004F61DB" w:rsidRDefault="004F61DB">
      <w:pPr>
        <w:pStyle w:val="FootnoteText"/>
      </w:pPr>
      <w:r>
        <w:rPr>
          <w:rStyle w:val="FootnoteReference"/>
        </w:rPr>
        <w:footnoteRef/>
      </w:r>
      <w:r>
        <w:t xml:space="preserve"> </w:t>
      </w:r>
      <w:r w:rsidRPr="004F61DB">
        <w:t xml:space="preserve">By http://www.agenciabrasil.gov.br/media/imagens/2008/11/26/bairrocarvalho.jpg/view, CC BY 3.0 </w:t>
      </w:r>
      <w:r w:rsidR="00BA39C4">
        <w:t>BR</w:t>
      </w:r>
      <w:r w:rsidRPr="004F61DB">
        <w:t>, https://commons.wikimedia.org/w/index.php?curid=5289364</w:t>
      </w:r>
    </w:p>
  </w:footnote>
  <w:footnote w:id="7">
    <w:p w14:paraId="385CE563" w14:textId="21110B4D" w:rsidR="009B2A12" w:rsidRDefault="009B2A12">
      <w:pPr>
        <w:pStyle w:val="FootnoteText"/>
      </w:pPr>
      <w:r>
        <w:rPr>
          <w:rStyle w:val="FootnoteReference"/>
        </w:rPr>
        <w:footnoteRef/>
      </w:r>
      <w:r>
        <w:t xml:space="preserve"> </w:t>
      </w:r>
      <w:r w:rsidRPr="009B2A12">
        <w:t>https://safetymanagement.eku.edu/blog/5-ways-drones-are-being-used-for-disaster-relief/</w:t>
      </w:r>
    </w:p>
  </w:footnote>
  <w:footnote w:id="8">
    <w:p w14:paraId="310A78CC" w14:textId="4B289CDC" w:rsidR="004F3055" w:rsidRDefault="004F3055">
      <w:pPr>
        <w:pStyle w:val="FootnoteText"/>
      </w:pPr>
      <w:r>
        <w:rPr>
          <w:rStyle w:val="FootnoteReference"/>
        </w:rPr>
        <w:footnoteRef/>
      </w:r>
      <w:r>
        <w:t xml:space="preserve"> </w:t>
      </w:r>
      <w:r w:rsidRPr="004F3055">
        <w:t>Patel, Keyur K., Sunil M. Patel, and P. Scholar. "Internet of things-IOT: definition, characteristics, architecture, enabling technologies, application &amp; future challenges." International journal of engineering science and computing 6.5 (2016).</w:t>
      </w:r>
    </w:p>
  </w:footnote>
  <w:footnote w:id="9">
    <w:p w14:paraId="35BAE9B4" w14:textId="76A7D3DB" w:rsidR="00612A0A" w:rsidRDefault="00612A0A">
      <w:pPr>
        <w:pStyle w:val="FootnoteText"/>
      </w:pPr>
      <w:r>
        <w:rPr>
          <w:rStyle w:val="FootnoteReference"/>
        </w:rPr>
        <w:footnoteRef/>
      </w:r>
      <w:r>
        <w:t xml:space="preserve"> </w:t>
      </w:r>
      <w:r w:rsidRPr="00612A0A">
        <w:t xml:space="preserve">Standard, O. A. S. I. S. "MQTT version 3.1. 1." URL http://docs. </w:t>
      </w:r>
      <w:proofErr w:type="gramStart"/>
      <w:r w:rsidRPr="00612A0A">
        <w:t>oasis-open</w:t>
      </w:r>
      <w:proofErr w:type="gramEnd"/>
      <w:r w:rsidRPr="00612A0A">
        <w:t>. org/</w:t>
      </w:r>
      <w:proofErr w:type="spellStart"/>
      <w:r w:rsidRPr="00612A0A">
        <w:t>mqtt</w:t>
      </w:r>
      <w:proofErr w:type="spellEnd"/>
      <w:r w:rsidRPr="00612A0A">
        <w:t>/</w:t>
      </w:r>
      <w:proofErr w:type="spellStart"/>
      <w:r w:rsidRPr="00612A0A">
        <w:t>mqtt</w:t>
      </w:r>
      <w:proofErr w:type="spellEnd"/>
      <w:r w:rsidRPr="00612A0A">
        <w:t>/v3 1 (2014): 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8660F"/>
    <w:multiLevelType w:val="hybridMultilevel"/>
    <w:tmpl w:val="311C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638E6"/>
    <w:multiLevelType w:val="hybridMultilevel"/>
    <w:tmpl w:val="AB3CA3F2"/>
    <w:lvl w:ilvl="0" w:tplc="73308FC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2738"/>
    <w:multiLevelType w:val="hybridMultilevel"/>
    <w:tmpl w:val="B12E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1DB6"/>
    <w:multiLevelType w:val="hybridMultilevel"/>
    <w:tmpl w:val="2D2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76B58"/>
    <w:multiLevelType w:val="hybridMultilevel"/>
    <w:tmpl w:val="A01E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D5D4A"/>
    <w:multiLevelType w:val="hybridMultilevel"/>
    <w:tmpl w:val="2A9C1EC4"/>
    <w:lvl w:ilvl="0" w:tplc="73308FC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2132368">
    <w:abstractNumId w:val="4"/>
  </w:num>
  <w:num w:numId="2" w16cid:durableId="376591950">
    <w:abstractNumId w:val="1"/>
  </w:num>
  <w:num w:numId="3" w16cid:durableId="18439630">
    <w:abstractNumId w:val="5"/>
  </w:num>
  <w:num w:numId="4" w16cid:durableId="865606378">
    <w:abstractNumId w:val="2"/>
  </w:num>
  <w:num w:numId="5" w16cid:durableId="163983210">
    <w:abstractNumId w:val="3"/>
  </w:num>
  <w:num w:numId="6" w16cid:durableId="170393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AF"/>
    <w:rsid w:val="000274E0"/>
    <w:rsid w:val="000427E8"/>
    <w:rsid w:val="0004343A"/>
    <w:rsid w:val="000557AD"/>
    <w:rsid w:val="000564AD"/>
    <w:rsid w:val="000905AF"/>
    <w:rsid w:val="000A6E36"/>
    <w:rsid w:val="000E0CDF"/>
    <w:rsid w:val="000E22EF"/>
    <w:rsid w:val="000E66B2"/>
    <w:rsid w:val="00105E6C"/>
    <w:rsid w:val="00151E0F"/>
    <w:rsid w:val="00182186"/>
    <w:rsid w:val="001839B3"/>
    <w:rsid w:val="001F2AD4"/>
    <w:rsid w:val="00232A40"/>
    <w:rsid w:val="00237A1F"/>
    <w:rsid w:val="0026090A"/>
    <w:rsid w:val="002626EA"/>
    <w:rsid w:val="002641C2"/>
    <w:rsid w:val="00286185"/>
    <w:rsid w:val="002874FA"/>
    <w:rsid w:val="00295EBF"/>
    <w:rsid w:val="00320526"/>
    <w:rsid w:val="00361175"/>
    <w:rsid w:val="00381062"/>
    <w:rsid w:val="00383A66"/>
    <w:rsid w:val="003A27FA"/>
    <w:rsid w:val="003E2979"/>
    <w:rsid w:val="00401A62"/>
    <w:rsid w:val="00401FB8"/>
    <w:rsid w:val="004126CB"/>
    <w:rsid w:val="0043102D"/>
    <w:rsid w:val="004359AF"/>
    <w:rsid w:val="00436C4B"/>
    <w:rsid w:val="004600E3"/>
    <w:rsid w:val="004611A8"/>
    <w:rsid w:val="004A6C00"/>
    <w:rsid w:val="004D24EE"/>
    <w:rsid w:val="004D3706"/>
    <w:rsid w:val="004F3055"/>
    <w:rsid w:val="004F61DB"/>
    <w:rsid w:val="00517303"/>
    <w:rsid w:val="00550FD1"/>
    <w:rsid w:val="0055381B"/>
    <w:rsid w:val="00592FB5"/>
    <w:rsid w:val="005C7BDE"/>
    <w:rsid w:val="005D51F0"/>
    <w:rsid w:val="005D61DC"/>
    <w:rsid w:val="00612A0A"/>
    <w:rsid w:val="00612D9A"/>
    <w:rsid w:val="00615A2D"/>
    <w:rsid w:val="00633E5C"/>
    <w:rsid w:val="00667E79"/>
    <w:rsid w:val="006E3DC7"/>
    <w:rsid w:val="00722FEE"/>
    <w:rsid w:val="007353A7"/>
    <w:rsid w:val="007518E6"/>
    <w:rsid w:val="007634AD"/>
    <w:rsid w:val="0078242D"/>
    <w:rsid w:val="007866A7"/>
    <w:rsid w:val="007953D7"/>
    <w:rsid w:val="007A70A4"/>
    <w:rsid w:val="007C1999"/>
    <w:rsid w:val="007D59CA"/>
    <w:rsid w:val="007E180D"/>
    <w:rsid w:val="007F45ED"/>
    <w:rsid w:val="008213E0"/>
    <w:rsid w:val="008A0622"/>
    <w:rsid w:val="008B737F"/>
    <w:rsid w:val="008D6419"/>
    <w:rsid w:val="008E739E"/>
    <w:rsid w:val="008F0DC1"/>
    <w:rsid w:val="0093154E"/>
    <w:rsid w:val="009611B7"/>
    <w:rsid w:val="00961F32"/>
    <w:rsid w:val="009B2A12"/>
    <w:rsid w:val="009D7CA4"/>
    <w:rsid w:val="009E262B"/>
    <w:rsid w:val="00A127B0"/>
    <w:rsid w:val="00A26D8E"/>
    <w:rsid w:val="00A343F5"/>
    <w:rsid w:val="00A41002"/>
    <w:rsid w:val="00A6605A"/>
    <w:rsid w:val="00A81D86"/>
    <w:rsid w:val="00A9765D"/>
    <w:rsid w:val="00AB3CB9"/>
    <w:rsid w:val="00AE0D46"/>
    <w:rsid w:val="00B162AB"/>
    <w:rsid w:val="00B750C1"/>
    <w:rsid w:val="00BA39C4"/>
    <w:rsid w:val="00BB72F4"/>
    <w:rsid w:val="00BB7D12"/>
    <w:rsid w:val="00BC03EC"/>
    <w:rsid w:val="00BD2175"/>
    <w:rsid w:val="00BD420D"/>
    <w:rsid w:val="00C066DB"/>
    <w:rsid w:val="00C42AD1"/>
    <w:rsid w:val="00C611D6"/>
    <w:rsid w:val="00C63C39"/>
    <w:rsid w:val="00C85BCB"/>
    <w:rsid w:val="00C92498"/>
    <w:rsid w:val="00CD25D6"/>
    <w:rsid w:val="00CF41EF"/>
    <w:rsid w:val="00D01618"/>
    <w:rsid w:val="00D10EC2"/>
    <w:rsid w:val="00D21DF7"/>
    <w:rsid w:val="00D36915"/>
    <w:rsid w:val="00D47185"/>
    <w:rsid w:val="00D73D16"/>
    <w:rsid w:val="00D74E3B"/>
    <w:rsid w:val="00DA7C83"/>
    <w:rsid w:val="00DE048F"/>
    <w:rsid w:val="00E14F77"/>
    <w:rsid w:val="00E646B2"/>
    <w:rsid w:val="00E81553"/>
    <w:rsid w:val="00EB3744"/>
    <w:rsid w:val="00ED6BA7"/>
    <w:rsid w:val="00EE0CD6"/>
    <w:rsid w:val="00F0221E"/>
    <w:rsid w:val="00F15135"/>
    <w:rsid w:val="00F30D66"/>
    <w:rsid w:val="00F43AFD"/>
    <w:rsid w:val="00F464B0"/>
    <w:rsid w:val="00F47D97"/>
    <w:rsid w:val="00F666E6"/>
    <w:rsid w:val="00FA003F"/>
    <w:rsid w:val="00FB3967"/>
    <w:rsid w:val="00FC2281"/>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DC90"/>
  <w15:chartTrackingRefBased/>
  <w15:docId w15:val="{50D6848E-FB67-4B11-AC8B-1E22E716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F32"/>
    <w:pPr>
      <w:ind w:left="720"/>
      <w:contextualSpacing/>
    </w:pPr>
  </w:style>
  <w:style w:type="paragraph" w:styleId="FootnoteText">
    <w:name w:val="footnote text"/>
    <w:basedOn w:val="Normal"/>
    <w:link w:val="FootnoteTextChar"/>
    <w:uiPriority w:val="99"/>
    <w:semiHidden/>
    <w:unhideWhenUsed/>
    <w:rsid w:val="00262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26EA"/>
    <w:rPr>
      <w:sz w:val="20"/>
      <w:szCs w:val="20"/>
    </w:rPr>
  </w:style>
  <w:style w:type="character" w:styleId="FootnoteReference">
    <w:name w:val="footnote reference"/>
    <w:basedOn w:val="DefaultParagraphFont"/>
    <w:uiPriority w:val="99"/>
    <w:semiHidden/>
    <w:unhideWhenUsed/>
    <w:rsid w:val="002626EA"/>
    <w:rPr>
      <w:vertAlign w:val="superscript"/>
    </w:rPr>
  </w:style>
  <w:style w:type="character" w:styleId="Hyperlink">
    <w:name w:val="Hyperlink"/>
    <w:basedOn w:val="DefaultParagraphFont"/>
    <w:uiPriority w:val="99"/>
    <w:unhideWhenUsed/>
    <w:rsid w:val="00F666E6"/>
    <w:rPr>
      <w:color w:val="0563C1" w:themeColor="hyperlink"/>
      <w:u w:val="single"/>
    </w:rPr>
  </w:style>
  <w:style w:type="character" w:styleId="UnresolvedMention">
    <w:name w:val="Unresolved Mention"/>
    <w:basedOn w:val="DefaultParagraphFont"/>
    <w:uiPriority w:val="99"/>
    <w:semiHidden/>
    <w:unhideWhenUsed/>
    <w:rsid w:val="00F666E6"/>
    <w:rPr>
      <w:color w:val="605E5C"/>
      <w:shd w:val="clear" w:color="auto" w:fill="E1DFDD"/>
    </w:rPr>
  </w:style>
  <w:style w:type="paragraph" w:styleId="Caption">
    <w:name w:val="caption"/>
    <w:basedOn w:val="Normal"/>
    <w:next w:val="Normal"/>
    <w:uiPriority w:val="35"/>
    <w:unhideWhenUsed/>
    <w:qFormat/>
    <w:rsid w:val="00517303"/>
    <w:pPr>
      <w:spacing w:after="200" w:line="240" w:lineRule="auto"/>
    </w:pPr>
    <w:rPr>
      <w:i/>
      <w:iCs/>
      <w:color w:val="44546A" w:themeColor="text2"/>
      <w:sz w:val="18"/>
      <w:szCs w:val="18"/>
    </w:rPr>
  </w:style>
  <w:style w:type="table" w:styleId="TableGrid">
    <w:name w:val="Table Grid"/>
    <w:basedOn w:val="TableNormal"/>
    <w:uiPriority w:val="39"/>
    <w:rsid w:val="00E8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reecodecamp.org/news/how-to-write-a-good-readme-fil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othneildrew/Best-README-Templat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lobal.tec.mx/en/global-shared-learning" TargetMode="External"/><Relationship Id="rId2" Type="http://schemas.openxmlformats.org/officeDocument/2006/relationships/hyperlink" Target="https://tec21connect.com/" TargetMode="External"/><Relationship Id="rId1" Type="http://schemas.openxmlformats.org/officeDocument/2006/relationships/hyperlink" Target="https://tec.mx/en" TargetMode="External"/><Relationship Id="rId4" Type="http://schemas.openxmlformats.org/officeDocument/2006/relationships/hyperlink" Target="http://www.it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DA373-8587-4079-AA2E-3453B1E9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10</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 BARRETO</dc:creator>
  <cp:keywords/>
  <dc:description/>
  <cp:lastModifiedBy>ALEXANDRE B BARRETO</cp:lastModifiedBy>
  <cp:revision>97</cp:revision>
  <dcterms:created xsi:type="dcterms:W3CDTF">2022-09-26T11:14:00Z</dcterms:created>
  <dcterms:modified xsi:type="dcterms:W3CDTF">2022-10-12T16:53:00Z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e5056ad3d51803968968bd0c54533e85a9f0e6d025297958d5e5853e388b1dbb</vt:lpwstr>
  </property>
</Properties>
</file>