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bookmarkStart w:id="0" w:name="_GoBack"/>
      <w:bookmarkEnd w:id="0"/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Pr="004E0CAE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7DE38E12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2018.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2307A73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Pepper,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1487A219" w14:textId="00A415AD" w:rsidR="004E65E7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7F9DB7A8" w:rsidR="0088475C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(5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6BA18518" w:rsidR="00A049E4" w:rsidRP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(2 field seasons)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5C048BEA" w14:textId="0359E937" w:rsidR="00FA6BE8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E8499D8" w14:textId="77777777" w:rsidR="004E65E7" w:rsidRDefault="00FA6BE8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78BCF731" w14:textId="720E789C" w:rsidR="007B1A1D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5B5FC9C8" w14:textId="77777777" w:rsidR="004E65E7" w:rsidRDefault="002018AA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Pr="00167522" w:rsidRDefault="00167522" w:rsidP="00581C01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1941F55F" w14:textId="77777777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crowdfunding project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1C729D36" w14:textId="77777777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4ECB6D3A" w:rsidR="00610D20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University, Department of Geosciences</w:t>
      </w:r>
    </w:p>
    <w:p w14:paraId="7A32C060" w14:textId="080B18AA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Chitwood | Michigan State University, Department of Horticulture</w:t>
      </w:r>
    </w:p>
    <w:p w14:paraId="2F430449" w14:textId="678B8FD3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Michelle Lawing | Texas A&amp;M University, Department of Ecosystem Science and Management</w:t>
      </w:r>
    </w:p>
    <w:p w14:paraId="1DCE3B8E" w14:textId="1A725D84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McNulty | University of Minnesota, Department of Anthropology</w:t>
      </w:r>
    </w:p>
    <w:p w14:paraId="33DC032B" w14:textId="6237ACBD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Michel | Tennessee Tech University,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3519D4" w:rsidRDefault="003519D4" w:rsidP="009B4EE3">
      <w:r>
        <w:separator/>
      </w:r>
    </w:p>
  </w:endnote>
  <w:endnote w:type="continuationSeparator" w:id="0">
    <w:p w14:paraId="02843F76" w14:textId="77777777" w:rsidR="003519D4" w:rsidRDefault="003519D4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3519D4" w:rsidRDefault="003519D4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F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4B094554" w:rsidR="003519D4" w:rsidRDefault="003519D4" w:rsidP="00A258A0">
    <w:pPr>
      <w:pStyle w:val="Footer"/>
      <w:ind w:right="360"/>
    </w:pPr>
    <w:r>
      <w:t>Aly Baumgartn</w:t>
    </w:r>
    <w:r w:rsidR="00E52FF9">
      <w:t>er — Curriculum Vitae (updated 8</w:t>
    </w:r>
    <w:r>
      <w:t>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3519D4" w:rsidRDefault="003519D4" w:rsidP="009B4EE3">
      <w:r>
        <w:separator/>
      </w:r>
    </w:p>
  </w:footnote>
  <w:footnote w:type="continuationSeparator" w:id="0">
    <w:p w14:paraId="06CB4997" w14:textId="77777777" w:rsidR="003519D4" w:rsidRDefault="003519D4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519D4"/>
    <w:rsid w:val="00353CCB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3346D-88EA-6B4A-AD06-E219CA7C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1482</Words>
  <Characters>8451</Characters>
  <Application>Microsoft Macintosh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95</cp:revision>
  <cp:lastPrinted>2013-09-19T14:58:00Z</cp:lastPrinted>
  <dcterms:created xsi:type="dcterms:W3CDTF">2014-06-11T02:09:00Z</dcterms:created>
  <dcterms:modified xsi:type="dcterms:W3CDTF">2018-08-23T19:17:00Z</dcterms:modified>
</cp:coreProperties>
</file>