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576"/>
        <w:jc w:val="left"/>
        <w:rPr>
          <w:b/>
          <w:bCs/>
          <w:lang w:val="es-ES"/>
        </w:rPr>
      </w:pPr>
      <w:r>
        <w:rPr>
          <w:b/>
          <w:bCs/>
          <w:sz w:val="24"/>
          <w:lang w:val="es-ES"/>
        </w:rPr>
        <w:t>SOLICITUD DE ARBITRAJE COLEGIAL – COAF HUELVA / CGCAAF</w:t>
      </w:r>
    </w:p>
    <w:p>
      <w:pPr>
        <w:pStyle w:val="Normal"/>
        <w:ind w:firstLine="576"/>
        <w:rPr>
          <w:u w:val="none"/>
          <w:lang w:val="es-ES"/>
        </w:rPr>
      </w:pPr>
      <w:r>
        <w:rPr>
          <w:u w:val="none"/>
          <w:lang w:val="es-ES"/>
        </w:rPr>
      </w:r>
    </w:p>
    <w:p>
      <w:pPr>
        <w:pStyle w:val="Normal"/>
        <w:ind w:hanging="0"/>
        <w:jc w:val="left"/>
        <w:rPr>
          <w:lang w:val="es-ES"/>
        </w:rPr>
      </w:pPr>
      <w:r>
        <w:rPr>
          <w:b/>
          <w:sz w:val="24"/>
          <w:lang w:val="es-ES"/>
        </w:rPr>
        <w:t>EXPEDIENTE: Comunidad de Propietarios Marina del Cantil (2.ª Fase)</w:t>
      </w:r>
    </w:p>
    <w:p>
      <w:pPr>
        <w:pStyle w:val="Normal"/>
        <w:ind w:firstLine="576"/>
        <w:rPr>
          <w:lang w:val="es-ES"/>
        </w:rPr>
      </w:pPr>
      <w:r>
        <w:rPr>
          <w:b/>
          <w:bCs/>
          <w:sz w:val="24"/>
          <w:lang w:val="es-ES"/>
        </w:rPr>
        <w:t>SOLICITANTE</w:t>
      </w:r>
      <w:r>
        <w:rPr>
          <w:sz w:val="24"/>
          <w:lang w:val="es-ES"/>
        </w:rPr>
        <w:t>: D. Jaime Silva González, Propietario de la Vivienda n.º 22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DNI: [a completar]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Email / Teléfono: [a completar]</w:t>
      </w:r>
    </w:p>
    <w:p>
      <w:pPr>
        <w:pStyle w:val="Normal"/>
        <w:ind w:hanging="0"/>
        <w:jc w:val="left"/>
        <w:rPr>
          <w:lang w:val="es-ES"/>
        </w:rPr>
      </w:pPr>
      <w:r>
        <w:rPr>
          <w:b/>
          <w:sz w:val="24"/>
          <w:lang w:val="es-ES"/>
        </w:rPr>
        <w:t>I. PARTES IMPLICADAS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1. D.ª Clotilde Gallego Casanova – Administradora colegiada n.º 1084 (COAF Huelva)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2. D.ª Ana Villegas Carbonero – Administradora (Inmocentral/Mediterráneo SGI)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3. D. Camilo Ábalos Labruzzi – Presidente (2011–2025)</w:t>
      </w:r>
    </w:p>
    <w:p>
      <w:pPr>
        <w:pStyle w:val="Normal"/>
        <w:ind w:hanging="0"/>
        <w:jc w:val="left"/>
        <w:rPr>
          <w:lang w:val="es-ES"/>
        </w:rPr>
      </w:pPr>
      <w:r>
        <w:rPr>
          <w:b/>
          <w:sz w:val="24"/>
          <w:lang w:val="es-ES"/>
        </w:rPr>
        <w:t>II. HECHOS OBJETO DE CONTROVERSIA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1. Bloqueo de participación en Juntas (JGE 01/02/2025) por abuso de delegaciones (58,15%).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2. Exclusión de propuestas (03/12/2024), filtraciones estructurales sin respuesta.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3. Opacidad documental desde 2021, negativa a entregar actas y póliza.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6. Intimidación verbal de la administradora colegiada (06/05/2025) por WhatsApp tras requerimiento legítimo del comunero.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4. Ejecución unilateral de obra estructural sin reembolso (9.220,20 €).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5. Relación opaca entre Corsanz S.L. y presidencia (6 viviendas, uso turístico).</w:t>
      </w:r>
    </w:p>
    <w:p>
      <w:pPr>
        <w:pStyle w:val="Normal"/>
        <w:ind w:hanging="0"/>
        <w:jc w:val="left"/>
        <w:rPr>
          <w:lang w:val="es-ES"/>
        </w:rPr>
      </w:pPr>
      <w:r>
        <w:rPr>
          <w:b/>
          <w:sz w:val="24"/>
          <w:lang w:val="es-ES"/>
        </w:rPr>
        <w:t>III. FUNDAMENTO JURÍDICO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- LPH 2025: arts. 5, 9, 10, 13, 15–20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- Código Civil: arts. 1101, 1902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- Estatutos CGCAAF: arts. 11, 24, 27, 70, 71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- Jurisprudencia: STS 3441/2022, 1528/2021, 3420/2023</w:t>
      </w:r>
    </w:p>
    <w:p>
      <w:pPr>
        <w:pStyle w:val="Normal"/>
        <w:ind w:firstLine="576"/>
        <w:rPr>
          <w:lang w:val="es-ES"/>
        </w:rPr>
      </w:pPr>
      <w:r>
        <w:rPr>
          <w:lang w:val="es-ES"/>
        </w:rPr>
      </w:r>
    </w:p>
    <w:p>
      <w:pPr>
        <w:pStyle w:val="Normal"/>
        <w:ind w:hanging="0"/>
        <w:jc w:val="left"/>
        <w:rPr>
          <w:lang w:val="es-ES"/>
        </w:rPr>
      </w:pPr>
      <w:r>
        <w:rPr>
          <w:b/>
          <w:sz w:val="24"/>
          <w:lang w:val="es-ES"/>
        </w:rPr>
        <w:t>IV. PETICIONES ARBITRALES</w:t>
      </w:r>
    </w:p>
    <w:p>
      <w:pPr>
        <w:pStyle w:val="Normal"/>
        <w:ind w:firstLine="576"/>
        <w:rPr>
          <w:lang w:val="es-ES"/>
        </w:rPr>
      </w:pPr>
      <w:r>
        <w:rPr>
          <w:lang w:val="es-ES"/>
        </w:rPr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1. Declaración de nulidad de acuerdos por delegaciones abusivas.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2. Reembolso inmediato por obra no cubierta.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 xml:space="preserve">3. </w:t>
      </w:r>
      <w:r>
        <w:rPr>
          <w:sz w:val="24"/>
          <w:lang w:val="es-ES"/>
        </w:rPr>
        <w:t xml:space="preserve">Jucio sobre la actuación </w:t>
      </w:r>
      <w:r>
        <w:rPr>
          <w:sz w:val="24"/>
          <w:lang w:val="es-ES"/>
        </w:rPr>
        <w:t>colegial de administradores implicados.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4. Investigación estructural 2011–2025.</w:t>
      </w:r>
    </w:p>
    <w:p>
      <w:pPr>
        <w:pStyle w:val="Normal"/>
        <w:ind w:firstLine="576"/>
        <w:rPr>
          <w:rFonts w:ascii="Times New Roman" w:hAnsi="Times New Roman"/>
          <w:sz w:val="24"/>
          <w:lang w:val="es-ES"/>
        </w:rPr>
      </w:pPr>
      <w:r>
        <w:rPr>
          <w:sz w:val="24"/>
          <w:lang w:val="es-ES"/>
        </w:rPr>
        <w:t>5. Medidas de transparencia y digitalización obligatoria.</w:t>
      </w:r>
    </w:p>
    <w:p>
      <w:pPr>
        <w:pStyle w:val="Normal"/>
        <w:ind w:firstLine="576"/>
        <w:rPr>
          <w:lang w:val="es-ES"/>
        </w:rPr>
      </w:pPr>
      <w:r>
        <w:rPr>
          <w:lang w:val="es-ES"/>
        </w:rPr>
      </w:r>
    </w:p>
    <w:p>
      <w:pPr>
        <w:pStyle w:val="Normal"/>
        <w:ind w:hanging="0"/>
        <w:jc w:val="left"/>
        <w:rPr>
          <w:lang w:val="es-ES"/>
        </w:rPr>
      </w:pPr>
      <w:r>
        <w:rPr>
          <w:b/>
          <w:sz w:val="24"/>
          <w:lang w:val="es-ES"/>
        </w:rPr>
        <w:t>V. DOCUMENTACIÓN APORTADA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1. Actas (2011–2025, con lagunas entre 2013–2020).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2. Comunicaciones, pruebas digitales (audios, WhatsApp, correos).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3. Factura obra y peritajes.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7. Comunicación email y conversación WhatsApp (mayo 2025).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4. Escritura de coeficientes.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5. Requerimientos formales.</w:t>
      </w:r>
    </w:p>
    <w:p>
      <w:pPr>
        <w:pStyle w:val="Normal"/>
        <w:ind w:firstLine="576"/>
        <w:rPr>
          <w:lang w:val="es-ES"/>
        </w:rPr>
      </w:pPr>
      <w:r>
        <w:rPr>
          <w:sz w:val="24"/>
          <w:lang w:val="es-ES"/>
        </w:rPr>
        <w:t>6. Informes jurídicos especializados.</w:t>
      </w:r>
    </w:p>
    <w:p>
      <w:pPr>
        <w:pStyle w:val="Normal"/>
        <w:ind w:firstLine="576"/>
        <w:rPr>
          <w:lang w:val="es-ES"/>
        </w:rPr>
      </w:pPr>
      <w:r>
        <w:rPr>
          <w:lang w:val="es-ES"/>
        </w:rPr>
      </w:r>
    </w:p>
    <w:p>
      <w:pPr>
        <w:pStyle w:val="Normal"/>
        <w:ind w:hanging="0"/>
        <w:rPr>
          <w:lang w:val="es-ES"/>
        </w:rPr>
      </w:pPr>
      <w:r>
        <w:rPr>
          <w:sz w:val="24"/>
          <w:lang w:val="es-ES"/>
        </w:rPr>
        <w:t>Firmado:</w:t>
      </w:r>
    </w:p>
    <w:p>
      <w:pPr>
        <w:pStyle w:val="Normal"/>
        <w:ind w:hanging="0"/>
        <w:rPr>
          <w:rFonts w:ascii="Times New Roman" w:hAnsi="Times New Roman"/>
          <w:sz w:val="24"/>
          <w:lang w:val="es-ES"/>
        </w:rPr>
      </w:pPr>
      <w:r>
        <w:rPr>
          <w:sz w:val="24"/>
          <w:lang w:val="es-ES"/>
        </w:rPr>
        <w:t>D. Jaime Silva González</w:t>
      </w:r>
    </w:p>
    <w:p>
      <w:pPr>
        <w:pStyle w:val="Normal"/>
        <w:ind w:hanging="0"/>
        <w:rPr>
          <w:rFonts w:ascii="Times New Roman" w:hAnsi="Times New Roman"/>
          <w:sz w:val="24"/>
          <w:lang w:val="es-ES"/>
        </w:rPr>
      </w:pPr>
      <w:r>
        <w:rPr>
          <w:sz w:val="24"/>
          <w:lang w:val="es-ES"/>
        </w:rPr>
        <w:t>Propietario de la Vivienda 22</w:t>
      </w:r>
    </w:p>
    <w:p>
      <w:pPr>
        <w:pStyle w:val="Normal"/>
        <w:spacing w:before="0" w:after="200"/>
        <w:ind w:hanging="0"/>
        <w:rPr>
          <w:lang w:val="es-ES"/>
        </w:rPr>
      </w:pPr>
      <w:r>
        <w:rPr>
          <w:sz w:val="24"/>
          <w:lang w:val="es-ES"/>
        </w:rPr>
        <w:t>[Fecha]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4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LibreOffice/25.2.1.2$Linux_X86_64 LibreOffice_project/d3abf4aee5fd705e4a92bba33a32f40bc4e56f49</Application>
  <AppVersion>15.0000</AppVersion>
  <Pages>2</Pages>
  <Words>269</Words>
  <Characters>1662</Characters>
  <CharactersWithSpaces>1891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2025-05-06T11:19:38Z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