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b/>
          <w:bCs/>
          <w:color w:val="1E3A5F"/>
          <w:sz w:val="52"/>
          <w:szCs w:val="52"/>
        </w:rPr>
        <w:t xml:space="preserve">RAPPORT D'ANALYSE BUSINESS</w:t>
      </w:r>
    </w:p>
    <w:p>
      <w:pPr>
        <w:spacing w:after="200"/>
        <w:jc w:val="center"/>
      </w:pPr>
      <w:r>
        <w:rPr>
          <w:color w:val="64748B"/>
          <w:sz w:val="36"/>
          <w:szCs w:val="36"/>
        </w:rPr>
        <w:t xml:space="preserve">Transactions Par Seconde (TPS)</w:t>
      </w:r>
    </w:p>
    <w:p>
      <w:pPr>
        <w:spacing w:after="400"/>
        <w:jc w:val="center"/>
      </w:pPr>
      <w:r>
        <w:rPr>
          <w:color w:val="3498DB"/>
          <w:sz w:val="28"/>
          <w:szCs w:val="28"/>
        </w:rPr>
        <w:t xml:space="preserve">Analyse sur 4 Annees : 2023 - 2026</w:t>
      </w:r>
    </w:p>
    <w:p>
      <w:pPr>
        <w:spacing w:before="1500"/>
      </w:pPr>
    </w:p>
    <w:p>
      <w:pPr>
        <w:spacing w:after="100"/>
        <w:jc w:val="center"/>
      </w:pPr>
      <w:r>
        <w:rPr>
          <w:i/>
          <w:iCs/>
          <w:color w:val="2C3E50"/>
          <w:sz w:val="24"/>
          <w:szCs w:val="24"/>
        </w:rPr>
        <w:t xml:space="preserve">Visualisations et Interpretations Strategiques</w:t>
      </w:r>
    </w:p>
    <w:p>
      <w:pPr>
        <w:jc w:val="center"/>
      </w:pPr>
      <w:r>
        <w:rPr>
          <w:color w:val="64748B"/>
          <w:sz w:val="20"/>
          <w:szCs w:val="20"/>
        </w:rPr>
        <w:t xml:space="preserve">Document Confidentiel - Usage Interne</w:t>
      </w:r>
    </w:p>
    <w:p>
      <w:r>
        <w:br w:type="page"/>
      </w:r>
    </w:p>
    <w:p>
      <w:pPr>
        <w:sectPr>
          <w:pgSz w:w="11906" w:h="16838" w:orient="portrait"/>
          <w:pgMar w:top="0" w:right="0" w:bottom="0" w:left="0" w:header="708" w:footer="708" w:gutter="0"/>
          <w:pgNumType/>
          <w:docGrid w:linePitch="360"/>
        </w:sectPr>
      </w:pPr>
    </w:p>
    <w:p>
      <w:pPr>
        <w:pStyle w:val="Heading1"/>
      </w:pPr>
      <w:r>
        <w:t xml:space="preserve">1. Resume Executif</w:t>
      </w:r>
    </w:p>
    <w:p>
      <w:pPr>
        <w:spacing w:after="200" w:line="360"/>
      </w:pPr>
      <w:r>
        <w:t xml:space="preserve">Ce rapport presente une analyse complete des performances de l'entreprise sur la periode 2023-2026, en se concentrant sur les Transactions Par Seconde (TPS) comme indicateur principal de revenus. Les TPS representent directement le volume d'activite transactionnelle et constituent un proxy fiable pour evaluer les revenus generes par l'entreprise. L'analyse revele une stabilite remarquable des performances avec des opportunites d'optimisation identifiees a travers des visualisations detaillees.</w:t>
      </w:r>
    </w:p>
    <w:p>
      <w:pPr>
        <w:pStyle w:val="Heading2"/>
      </w:pPr>
      <w:r>
        <w:t xml:space="preserve">1.1 Indicateurs Cles de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500"/>
        <w:gridCol w:w="3500"/>
      </w:tblGrid>
      <w:tr>
        <w:trPr>
          <w:tblHeader/>
        </w:trPr>
        <w:tc>
          <w:tcPr>
            <w:tcW w:type="dxa" w:w="3500"/>
            <w:tcBorders>
              <w:top w:val="single" w:color="CBD5E1" w:sz="1"/>
              <w:left w:val="single" w:color="CBD5E1" w:sz="1"/>
              <w:bottom w:val="single" w:color="CBD5E1" w:sz="1"/>
              <w:right w:val="single" w:color="CBD5E1" w:sz="1"/>
            </w:tcBorders>
            <w:shd w:fill="1E3A5F" w:val="clear"/>
          </w:tcPr>
          <w:p>
            <w:pPr>
              <w:jc w:val="center"/>
            </w:pPr>
            <w:r>
              <w:rPr>
                <w:b/>
                <w:bCs/>
                <w:color w:val="FFFFFF"/>
                <w:sz w:val="22"/>
                <w:szCs w:val="22"/>
              </w:rPr>
              <w:t xml:space="preserve">Indicateur</w:t>
            </w:r>
          </w:p>
        </w:tc>
        <w:tc>
          <w:tcPr>
            <w:tcW w:type="dxa" w:w="2500"/>
            <w:tcBorders>
              <w:top w:val="single" w:color="CBD5E1" w:sz="1"/>
              <w:left w:val="single" w:color="CBD5E1" w:sz="1"/>
              <w:bottom w:val="single" w:color="CBD5E1" w:sz="1"/>
              <w:right w:val="single" w:color="CBD5E1" w:sz="1"/>
            </w:tcBorders>
            <w:shd w:fill="1E3A5F" w:val="clear"/>
          </w:tcPr>
          <w:p>
            <w:pPr>
              <w:jc w:val="center"/>
            </w:pPr>
            <w:r>
              <w:rPr>
                <w:b/>
                <w:bCs/>
                <w:color w:val="FFFFFF"/>
                <w:sz w:val="22"/>
                <w:szCs w:val="22"/>
              </w:rPr>
              <w:t xml:space="preserve">Valeur</w:t>
            </w:r>
          </w:p>
        </w:tc>
        <w:tc>
          <w:tcPr>
            <w:tcW w:type="dxa" w:w="3500"/>
            <w:tcBorders>
              <w:top w:val="single" w:color="CBD5E1" w:sz="1"/>
              <w:left w:val="single" w:color="CBD5E1" w:sz="1"/>
              <w:bottom w:val="single" w:color="CBD5E1" w:sz="1"/>
              <w:right w:val="single" w:color="CBD5E1" w:sz="1"/>
            </w:tcBorders>
            <w:shd w:fill="1E3A5F" w:val="clear"/>
          </w:tcPr>
          <w:p>
            <w:pPr>
              <w:jc w:val="center"/>
            </w:pPr>
            <w:r>
              <w:rPr>
                <w:b/>
                <w:bCs/>
                <w:color w:val="FFFFFF"/>
                <w:sz w:val="22"/>
                <w:szCs w:val="22"/>
              </w:rPr>
              <w:t xml:space="preserve">Interpretation</w:t>
            </w:r>
          </w:p>
        </w:tc>
      </w:tr>
      <w:tr>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TPS Total (4 ans)</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105.3 millions</w:t>
            </w:r>
          </w:p>
        </w:tc>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Volume total traite</w:t>
            </w:r>
          </w:p>
        </w:tc>
      </w:tr>
      <w:tr>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Revenus Estimes</w:t>
            </w:r>
          </w:p>
        </w:tc>
        <w:tc>
          <w:tcPr>
            <w:tcW w:type="dxa" w:w="2500"/>
            <w:tcBorders>
              <w:top w:val="single" w:color="CBD5E1" w:sz="1"/>
              <w:left w:val="single" w:color="CBD5E1" w:sz="1"/>
              <w:bottom w:val="single" w:color="CBD5E1" w:sz="1"/>
              <w:right w:val="single" w:color="CBD5E1" w:sz="1"/>
            </w:tcBorders>
          </w:tcPr>
          <w:p>
            <w:pPr>
              <w:jc w:val="center"/>
            </w:pPr>
            <w:r>
              <w:rPr>
                <w:b/>
                <w:bCs/>
                <w:sz w:val="22"/>
                <w:szCs w:val="22"/>
              </w:rPr>
              <w:t xml:space="preserve">$105,301 K</w:t>
            </w:r>
          </w:p>
        </w:tc>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Base: $0.001/TPS</w:t>
            </w:r>
          </w:p>
        </w:tc>
      </w:tr>
      <w:tr>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Meilleure Annee</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2024</w:t>
            </w:r>
          </w:p>
        </w:tc>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+0.45% vs 2023</w:t>
            </w:r>
          </w:p>
        </w:tc>
      </w:tr>
    </w:tbl>
    <w:p>
      <w:pPr>
        <w:spacing w:after="300"/>
      </w:pPr>
    </w:p>
    <w:p>
      <w:pPr>
        <w:pStyle w:val="Heading1"/>
      </w:pPr>
      <w:r>
        <w:t xml:space="preserve">2. Evolution Annuelle des TPS et Revenus</w:t>
      </w:r>
    </w:p>
    <w:p>
      <w:pPr>
        <w:spacing w:after="150" w:line="360"/>
      </w:pPr>
      <w:r>
        <w:t xml:space="preserve">Le graphique suivant illustre l'evolution des TPS totaux et des revenus sur les quatre annees analysees. On observe une remarquable stabilite avec des variations inferieures a 1% d'une annee sur l'autre, ce qui traduit une base clientele solide et des processus operationnels matures.</w:t>
      </w:r>
    </w:p>
    <w:p>
      <w:pPr>
        <w:spacing w:after="100" w:before="200"/>
        <w:jc w:val="center"/>
      </w:pPr>
      <w:r>
        <w:drawing>
          <wp:inline distT="0" distB="0" distL="0" distR="0">
            <wp:extent cx="5238750" cy="2619375"/>
            <wp:effectExtent t="0" r="0" b="0" l="0"/>
            <wp:docPr id="1" name="fig1" descr="Graphique evolution TPS" title="Evolution ann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19375"/>
                    </a:xfrm>
                    <a:prstGeom prst="rect">
                      <a:avLst/>
                    </a:prstGeom>
                  </pic:spPr>
                </pic:pic>
              </a:graphicData>
            </a:graphic>
          </wp:inline>
        </w:drawing>
      </w:r>
    </w:p>
    <w:p>
      <w:pPr>
        <w:spacing w:after="200"/>
        <w:jc w:val="center"/>
      </w:pPr>
      <w:r>
        <w:rPr>
          <w:i/>
          <w:iCs/>
          <w:color w:val="64748B"/>
          <w:sz w:val="20"/>
          <w:szCs w:val="20"/>
        </w:rPr>
        <w:t xml:space="preserve">Figure 1 : Evolution annuelle des TPS et Revenus (2023-2026)</w:t>
      </w:r>
    </w:p>
    <w:p>
      <w:pPr>
        <w:pStyle w:val="Heading2"/>
      </w:pPr>
      <w:r>
        <w:t xml:space="preserve">2.1 Donnees Detaillees par Annee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500"/>
        <w:gridCol w:w="2000"/>
        <w:gridCol w:w="1800"/>
        <w:gridCol w:w="1800"/>
        <w:gridCol w:w="2000"/>
      </w:tblGrid>
      <w:tr>
        <w:trPr>
          <w:tblHeader/>
        </w:trPr>
        <w:tc>
          <w:tcPr>
            <w:tcW w:type="dxa" w:w="1500"/>
            <w:tcBorders>
              <w:top w:val="single" w:color="CBD5E1" w:sz="1"/>
              <w:left w:val="single" w:color="CBD5E1" w:sz="1"/>
              <w:bottom w:val="single" w:color="CBD5E1" w:sz="1"/>
              <w:right w:val="single" w:color="CBD5E1" w:sz="1"/>
            </w:tcBorders>
            <w:shd w:fill="1E3A5F" w:val="clear"/>
          </w:tcPr>
          <w:p>
            <w:pPr>
              <w:jc w:val="center"/>
            </w:pPr>
            <w:r>
              <w:rPr>
                <w:b/>
                <w:bCs/>
                <w:color w:val="FFFFFF"/>
                <w:sz w:val="20"/>
                <w:szCs w:val="20"/>
              </w:rPr>
              <w:t xml:space="preserve">Annee</w:t>
            </w:r>
          </w:p>
        </w:tc>
        <w:tc>
          <w:tcPr>
            <w:tcW w:type="dxa" w:w="2000"/>
            <w:tcBorders>
              <w:top w:val="single" w:color="CBD5E1" w:sz="1"/>
              <w:left w:val="single" w:color="CBD5E1" w:sz="1"/>
              <w:bottom w:val="single" w:color="CBD5E1" w:sz="1"/>
              <w:right w:val="single" w:color="CBD5E1" w:sz="1"/>
            </w:tcBorders>
            <w:shd w:fill="1E3A5F" w:val="clear"/>
          </w:tcPr>
          <w:p>
            <w:pPr>
              <w:jc w:val="center"/>
            </w:pPr>
            <w:r>
              <w:rPr>
                <w:b/>
                <w:bCs/>
                <w:color w:val="FFFFFF"/>
                <w:sz w:val="20"/>
                <w:szCs w:val="20"/>
              </w:rPr>
              <w:t xml:space="preserve">Total TPS</w:t>
            </w:r>
          </w:p>
        </w:tc>
        <w:tc>
          <w:tcPr>
            <w:tcW w:type="dxa" w:w="1800"/>
            <w:tcBorders>
              <w:top w:val="single" w:color="CBD5E1" w:sz="1"/>
              <w:left w:val="single" w:color="CBD5E1" w:sz="1"/>
              <w:bottom w:val="single" w:color="CBD5E1" w:sz="1"/>
              <w:right w:val="single" w:color="CBD5E1" w:sz="1"/>
            </w:tcBorders>
            <w:shd w:fill="1E3A5F" w:val="clear"/>
          </w:tcPr>
          <w:p>
            <w:pPr>
              <w:jc w:val="center"/>
            </w:pPr>
            <w:r>
              <w:rPr>
                <w:b/>
                <w:bCs/>
                <w:color w:val="FFFFFF"/>
                <w:sz w:val="20"/>
                <w:szCs w:val="20"/>
              </w:rPr>
              <w:t xml:space="preserve">TPS Moyen</w:t>
            </w:r>
          </w:p>
        </w:tc>
        <w:tc>
          <w:tcPr>
            <w:tcW w:type="dxa" w:w="1800"/>
            <w:tcBorders>
              <w:top w:val="single" w:color="CBD5E1" w:sz="1"/>
              <w:left w:val="single" w:color="CBD5E1" w:sz="1"/>
              <w:bottom w:val="single" w:color="CBD5E1" w:sz="1"/>
              <w:right w:val="single" w:color="CBD5E1" w:sz="1"/>
            </w:tcBorders>
            <w:shd w:fill="1E3A5F" w:val="clear"/>
          </w:tcPr>
          <w:p>
            <w:pPr>
              <w:jc w:val="center"/>
            </w:pPr>
            <w:r>
              <w:rPr>
                <w:b/>
                <w:bCs/>
                <w:color w:val="FFFFFF"/>
                <w:sz w:val="20"/>
                <w:szCs w:val="20"/>
              </w:rPr>
              <w:t xml:space="preserve">Revenus ($K)</w:t>
            </w:r>
          </w:p>
        </w:tc>
        <w:tc>
          <w:tcPr>
            <w:tcW w:type="dxa" w:w="2000"/>
            <w:tcBorders>
              <w:top w:val="single" w:color="CBD5E1" w:sz="1"/>
              <w:left w:val="single" w:color="CBD5E1" w:sz="1"/>
              <w:bottom w:val="single" w:color="CBD5E1" w:sz="1"/>
              <w:right w:val="single" w:color="CBD5E1" w:sz="1"/>
            </w:tcBorders>
            <w:shd w:fill="1E3A5F" w:val="clear"/>
          </w:tcPr>
          <w:p>
            <w:pPr>
              <w:jc w:val="center"/>
            </w:pPr>
            <w:r>
              <w:rPr>
                <w:b/>
                <w:bCs/>
                <w:color w:val="FFFFFF"/>
                <w:sz w:val="20"/>
                <w:szCs w:val="20"/>
              </w:rPr>
              <w:t xml:space="preserve">Croissance</w:t>
            </w:r>
          </w:p>
        </w:tc>
      </w:tr>
      <w:tr>
        <w:tc>
          <w:tcPr>
            <w:tcW w:type="dxa" w:w="1500"/>
            <w:tcBorders>
              <w:top w:val="single" w:color="CBD5E1" w:sz="1"/>
              <w:left w:val="single" w:color="CBD5E1" w:sz="1"/>
              <w:bottom w:val="single" w:color="CBD5E1" w:sz="1"/>
              <w:right w:val="single" w:color="CBD5E1" w:sz="1"/>
            </w:tcBorders>
            <w:shd w:fill="F8FAFC" w:val="clear"/>
          </w:tcPr>
          <w:p>
            <w:pPr>
              <w:jc w:val="center"/>
            </w:pPr>
            <w:r>
              <w:rPr>
                <w:b/>
                <w:bCs/>
                <w:sz w:val="20"/>
                <w:szCs w:val="20"/>
              </w:rPr>
              <w:t xml:space="preserve">2023</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$26295.44</w:t>
            </w:r>
          </w:p>
        </w:tc>
        <w:tc>
          <w:tcPr>
            <w:tcW w:type="dxa" w:w="2000"/>
            <w:tcBorders>
              <w:top w:val="single" w:color="CBD5E1" w:sz="1"/>
              <w:left w:val="single" w:color="CBD5E1" w:sz="1"/>
              <w:bottom w:val="single" w:color="CBD5E1" w:sz="1"/>
              <w:right w:val="single" w:color="CBD5E1" w:sz="1"/>
            </w:tcBorders>
            <w:shd w:fill="F8FAFC" w:val="clear"/>
          </w:tcPr>
          <w:p>
            <w:pPr>
              <w:jc w:val="center"/>
            </w:pPr>
            <w:r>
              <w:rPr>
                <w:color w:val="000000"/>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Pr>
          <w:p>
            <w:pPr>
              <w:jc w:val="center"/>
            </w:pPr>
            <w:r>
              <w:rPr>
                <w:b/>
                <w:bCs/>
                <w:sz w:val="20"/>
                <w:szCs w:val="20"/>
              </w:rPr>
              <w:t xml:space="preserve">2024</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26.41 M</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3007</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$26413.32</w:t>
            </w:r>
          </w:p>
        </w:tc>
        <w:tc>
          <w:tcPr>
            <w:tcW w:type="dxa" w:w="2000"/>
            <w:tcBorders>
              <w:top w:val="single" w:color="CBD5E1" w:sz="1"/>
              <w:left w:val="single" w:color="CBD5E1" w:sz="1"/>
              <w:bottom w:val="single" w:color="CBD5E1" w:sz="1"/>
              <w:right w:val="single" w:color="CBD5E1" w:sz="1"/>
            </w:tcBorders>
            <w:shd w:fill="FFFFFF" w:val="clear"/>
          </w:tcPr>
          <w:p>
            <w:pPr>
              <w:jc w:val="center"/>
            </w:pPr>
            <w:r>
              <w:rPr>
                <w:color w:val="16A34A"/>
                <w:sz w:val="20"/>
                <w:szCs w:val="20"/>
              </w:rPr>
              <w:t xml:space="preserve">+0.45%</w:t>
            </w:r>
          </w:p>
        </w:tc>
      </w:tr>
      <w:tr>
        <w:tc>
          <w:tcPr>
            <w:tcW w:type="dxa" w:w="1500"/>
            <w:tcBorders>
              <w:top w:val="single" w:color="CBD5E1" w:sz="1"/>
              <w:left w:val="single" w:color="CBD5E1" w:sz="1"/>
              <w:bottom w:val="single" w:color="CBD5E1" w:sz="1"/>
              <w:right w:val="single" w:color="CBD5E1" w:sz="1"/>
            </w:tcBorders>
            <w:shd w:fill="F8FAFC" w:val="clear"/>
          </w:tcPr>
          <w:p>
            <w:pPr>
              <w:jc w:val="center"/>
            </w:pPr>
            <w:r>
              <w:rPr>
                <w:b/>
                <w:bCs/>
                <w:sz w:val="20"/>
                <w:szCs w:val="20"/>
              </w:rPr>
              <w:t xml:space="preserve">2025</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$26296.62</w:t>
            </w:r>
          </w:p>
        </w:tc>
        <w:tc>
          <w:tcPr>
            <w:tcW w:type="dxa" w:w="2000"/>
            <w:tcBorders>
              <w:top w:val="single" w:color="CBD5E1" w:sz="1"/>
              <w:left w:val="single" w:color="CBD5E1" w:sz="1"/>
              <w:bottom w:val="single" w:color="CBD5E1" w:sz="1"/>
              <w:right w:val="single" w:color="CBD5E1" w:sz="1"/>
            </w:tcBorders>
            <w:shd w:fill="F8FAFC" w:val="clear"/>
          </w:tcPr>
          <w:p>
            <w:pPr>
              <w:jc w:val="center"/>
            </w:pPr>
            <w:r>
              <w:rPr>
                <w:color w:val="DC2626"/>
                <w:sz w:val="20"/>
                <w:szCs w:val="20"/>
              </w:rPr>
              <w:t xml:space="preserve">-0.44%</w:t>
            </w:r>
          </w:p>
        </w:tc>
      </w:tr>
      <w:tr>
        <w:tc>
          <w:tcPr>
            <w:tcW w:type="dxa" w:w="1500"/>
            <w:tcBorders>
              <w:top w:val="single" w:color="CBD5E1" w:sz="1"/>
              <w:left w:val="single" w:color="CBD5E1" w:sz="1"/>
              <w:bottom w:val="single" w:color="CBD5E1" w:sz="1"/>
              <w:right w:val="single" w:color="CBD5E1" w:sz="1"/>
            </w:tcBorders>
            <w:shd w:fill="FFFFFF" w:val="clear"/>
          </w:tcPr>
          <w:p>
            <w:pPr>
              <w:jc w:val="center"/>
            </w:pPr>
            <w:r>
              <w:rPr>
                <w:b/>
                <w:bCs/>
                <w:sz w:val="20"/>
                <w:szCs w:val="20"/>
              </w:rPr>
              <w:t xml:space="preserve">2026</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$26295.26</w:t>
            </w:r>
          </w:p>
        </w:tc>
        <w:tc>
          <w:tcPr>
            <w:tcW w:type="dxa" w:w="2000"/>
            <w:tcBorders>
              <w:top w:val="single" w:color="CBD5E1" w:sz="1"/>
              <w:left w:val="single" w:color="CBD5E1" w:sz="1"/>
              <w:bottom w:val="single" w:color="CBD5E1" w:sz="1"/>
              <w:right w:val="single" w:color="CBD5E1" w:sz="1"/>
            </w:tcBorders>
            <w:shd w:fill="FFFFFF" w:val="clear"/>
          </w:tcPr>
          <w:p>
            <w:pPr>
              <w:jc w:val="center"/>
            </w:pPr>
            <w:r>
              <w:rPr>
                <w:color w:val="DC2626"/>
                <w:sz w:val="20"/>
                <w:szCs w:val="20"/>
              </w:rPr>
              <w:t xml:space="preserve">-0.01%</w:t>
            </w:r>
          </w:p>
        </w:tc>
      </w:tr>
    </w:tbl>
    <w:p>
      <w:pPr>
        <w:spacing w:after="300"/>
      </w:pPr>
    </w:p>
    <w:p>
      <w:pPr>
        <w:pStyle w:val="Heading2"/>
      </w:pPr>
      <w:r>
        <w:t xml:space="preserve">2.2 Croissance Year-over-Year</w:t>
      </w:r>
    </w:p>
    <w:p>
      <w:pPr>
        <w:spacing w:after="150" w:line="360"/>
      </w:pPr>
      <w:r>
        <w:t xml:space="preserve">L'analyse de la croissance annee apres annee met en evidence la stabilite exceptionnelle de l'activite. L'annee 2024 se distingue avec une croissance positive de +0.45%, tandis que 2025 et 2026 montrent de legeres corrections.</w:t>
      </w:r>
    </w:p>
    <w:p>
      <w:pPr>
        <w:spacing w:after="100" w:before="200"/>
        <w:jc w:val="center"/>
      </w:pPr>
      <w:r>
        <w:drawing>
          <wp:inline distT="0" distB="0" distL="0" distR="0">
            <wp:extent cx="4286250" cy="2571750"/>
            <wp:effectExtent t="0" r="0" b="0" l="0"/>
            <wp:docPr id="1" name="fig5" descr="Graphique croissance" title="Croissance Y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71750"/>
                    </a:xfrm>
                    <a:prstGeom prst="rect">
                      <a:avLst/>
                    </a:prstGeom>
                  </pic:spPr>
                </pic:pic>
              </a:graphicData>
            </a:graphic>
          </wp:inline>
        </w:drawing>
      </w:r>
    </w:p>
    <w:p>
      <w:pPr>
        <w:spacing w:after="200"/>
        <w:jc w:val="center"/>
      </w:pPr>
      <w:r>
        <w:rPr>
          <w:i/>
          <w:iCs/>
          <w:color w:val="64748B"/>
          <w:sz w:val="20"/>
          <w:szCs w:val="20"/>
        </w:rPr>
        <w:t xml:space="preserve">Figure 2 : Croissance annuelle des TPS (Year-over-Year)</w:t>
      </w:r>
    </w:p>
    <w:p>
      <w:pPr>
        <w:pStyle w:val="Heading1"/>
      </w:pPr>
      <w:r>
        <w:t xml:space="preserve">3. Analyse Saisonniere</w:t>
      </w:r>
    </w:p>
    <w:p>
      <w:pPr>
        <w:spacing w:after="150" w:line="360"/>
      </w:pPr>
      <w:r>
        <w:t xml:space="preserve">L'analyse des patterns saisonniers revele des cycles previsibles qui permettent d'optimiser la planification des ressources et d'anticiper les besoins en capacite. Les variations mensuelles sont significatives, avec un ecart de pres de 300% entre les mois les plus faibles et les plus forts.</w:t>
      </w:r>
    </w:p>
    <w:p>
      <w:pPr>
        <w:pStyle w:val="Heading2"/>
      </w:pPr>
      <w:r>
        <w:t xml:space="preserve">3.1 Distribution Mensuelle des TPS</w:t>
      </w:r>
    </w:p>
    <w:p>
      <w:pPr>
        <w:spacing w:after="100" w:before="200"/>
        <w:jc w:val="center"/>
      </w:pPr>
      <w:r>
        <w:drawing>
          <wp:inline distT="0" distB="0" distL="0" distR="0">
            <wp:extent cx="5715000" cy="2476500"/>
            <wp:effectExtent t="0" r="0" b="0" l="0"/>
            <wp:docPr id="1" name="fig2" descr="Graphique mensuel" title="Saisonna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4748B"/>
          <w:sz w:val="20"/>
          <w:szCs w:val="20"/>
        </w:rPr>
        <w:t xml:space="preserve">Figure 3 : Distribution mensuelle des TPS - Pattern saisonnier</w:t>
      </w:r>
    </w:p>
    <w:p>
      <w:pPr>
        <w:spacing w:after="150" w:line="360"/>
      </w:pPr>
      <w:r>
        <w:t xml:space="preserve">Le graphique ci-dessus montre clairement le pattern saisonnier avec une progression constante de Janvier a Decembre. Les mois du quatrieme trimestre (Octobre-Decembre) representent la periode la plus lucrative avec des TPS superieurs a 3,000, tandis que le premier trimestre (Janvier-Fevrier) presente les niveaux les plus bas autour de 900 TPS.</w:t>
      </w:r>
    </w:p>
    <w:p>
      <w:pPr>
        <w:pStyle w:val="Heading2"/>
      </w:pPr>
      <w:r>
        <w:t xml:space="preserve">3.2 Profil Journalier - Pattern Horaire</w:t>
      </w:r>
    </w:p>
    <w:p>
      <w:pPr>
        <w:spacing w:after="150" w:line="360"/>
      </w:pPr>
      <w:r>
        <w:t xml:space="preserve">Le profil horaire journalier revele les periodes de pointe et les creux naturels de l'activite transactionnelle. Cette information est cruciale pour le dimensionnement des infrastructures et la planification des equipes support.</w:t>
      </w:r>
    </w:p>
    <w:p>
      <w:pPr>
        <w:spacing w:after="100" w:before="200"/>
        <w:jc w:val="center"/>
      </w:pPr>
      <w:r>
        <w:drawing>
          <wp:inline distT="0" distB="0" distL="0" distR="0">
            <wp:extent cx="5715000" cy="2476500"/>
            <wp:effectExtent t="0" r="0" b="0" l="0"/>
            <wp:docPr id="1" name="fig3" descr="Graphique horaire" title="Pattern hor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4748B"/>
          <w:sz w:val="20"/>
          <w:szCs w:val="20"/>
        </w:rPr>
        <w:t xml:space="preserve">Figure 4 : Profil journalier des TPS - Variations horaires</w:t>
      </w:r>
    </w:p>
    <w:p>
      <w:pPr>
        <w:spacing w:after="150" w:line="360"/>
      </w:pPr>
      <w:r>
        <w:t xml:space="preserve">Le pic d'activite se situe entre 11h et 14h avec des TPS atteignant 3,800, correspondant aux heures de pointe du lunch et des activites professionnelles intenses. Le creux nocturne entre 2h et 5h descend a environ 1,350 TPS, offrant une fenetre optimale pour les operations de maintenance.</w:t>
      </w:r>
    </w:p>
    <w:p>
      <w:pPr>
        <w:pStyle w:val="Heading2"/>
      </w:pPr>
      <w:r>
        <w:t xml:space="preserve">3.3 Vue Globale - Carte de Chaleur sur 4 Annees</w:t>
      </w:r>
    </w:p>
    <w:p>
      <w:pPr>
        <w:spacing w:after="150" w:line="360"/>
      </w:pPr>
      <w:r>
        <w:t xml:space="preserve">La carte de chaleur suivante offre une vision synthetique de l'evolution des TPS mois par mois sur les quatre annees, permettant d'identifier rapidement les patterns recurrents et les anomalies potentielles.</w:t>
      </w:r>
    </w:p>
    <w:p>
      <w:pPr>
        <w:spacing w:after="100" w:before="200"/>
        <w:jc w:val="center"/>
      </w:pPr>
      <w:r>
        <w:drawing>
          <wp:inline distT="0" distB="0" distL="0" distR="0">
            <wp:extent cx="5715000" cy="2095500"/>
            <wp:effectExtent t="0" r="0" b="0" l="0"/>
            <wp:docPr id="1" name="fig6" descr="Carte de chaleur"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64748B"/>
          <w:sz w:val="20"/>
          <w:szCs w:val="20"/>
        </w:rPr>
        <w:t xml:space="preserve">Figure 5 : Carte de chaleur des TPS - Vue multi-annuelle</w:t>
      </w:r>
    </w:p>
    <w:p>
      <w:pPr>
        <w:pStyle w:val="Heading1"/>
      </w:pPr>
      <w:r>
        <w:t xml:space="preserve">4. Impact des Evenements Exogenes</w:t>
      </w:r>
    </w:p>
    <w:p>
      <w:pPr>
        <w:spacing w:after="150" w:line="360"/>
      </w:pPr>
      <w:r>
        <w:t xml:space="preserve">L'analyse des evenements externes permet de quantifier leur impact sur les TPS et d'identifier les opportunites de revenus ainsi que les risques a mitiger. Certains evenements generent des pics positifs exploitables, tandis que d'autres representent des menaces pour l'activite.</w:t>
      </w:r>
    </w:p>
    <w:p>
      <w:pPr>
        <w:pStyle w:val="Heading2"/>
      </w:pPr>
      <w:r>
        <w:t xml:space="preserve">4.1 Analyse Quantitative des Impacts</w:t>
      </w:r>
    </w:p>
    <w:p>
      <w:pPr>
        <w:spacing w:after="100" w:before="200"/>
        <w:jc w:val="center"/>
      </w:pPr>
      <w:r>
        <w:drawing>
          <wp:inline distT="0" distB="0" distL="0" distR="0">
            <wp:extent cx="4953000" cy="3333750"/>
            <wp:effectExtent t="0" r="0" b="0" l="0"/>
            <wp:docPr id="1" name="fig4" descr="Graphique impact" title="Impact even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33750"/>
                    </a:xfrm>
                    <a:prstGeom prst="rect">
                      <a:avLst/>
                    </a:prstGeom>
                  </pic:spPr>
                </pic:pic>
              </a:graphicData>
            </a:graphic>
          </wp:inline>
        </w:drawing>
      </w:r>
    </w:p>
    <w:p>
      <w:pPr>
        <w:spacing w:after="200"/>
        <w:jc w:val="center"/>
      </w:pPr>
      <w:r>
        <w:rPr>
          <w:i/>
          <w:iCs/>
          <w:color w:val="64748B"/>
          <w:sz w:val="20"/>
          <w:szCs w:val="20"/>
        </w:rPr>
        <w:t xml:space="preserve">Figure 6 : Impact des evenements sur les TPS (%)</w:t>
      </w:r>
    </w:p>
    <w:p>
      <w:pPr>
        <w:pStyle w:val="Heading3"/>
      </w:pPr>
      <w:r>
        <w:t xml:space="preserve">Evenements a Impact Positif (Opportunites)</w:t>
      </w:r>
    </w:p>
    <w:p>
      <w:pPr>
        <w:spacing w:after="150" w:line="360"/>
      </w:pPr>
      <w:r>
        <w:t xml:space="preserve">Les lancements de produits (+20.4%) et les promotions commerciales (+15.9%) representent les principales opportunites de croissance. Ces evenements planifiables permettent d'anticiper les pics de charge et de maximiser la capture de revenus. Les concerts et evenements speciaux (+8.6%) offrent egalement un potentiel interessant via des partenariats strategiques.</w:t>
      </w:r>
    </w:p>
    <w:p>
      <w:pPr>
        <w:pStyle w:val="Heading3"/>
      </w:pPr>
      <w:r>
        <w:t xml:space="preserve">Evenements a Impact Negatif (Risques)</w:t>
      </w:r>
    </w:p>
    <w:p>
      <w:pPr>
        <w:spacing w:after="150" w:line="360"/>
      </w:pPr>
      <w:r>
        <w:t xml:space="preserve">La greve constitue le risque majeur avec un impact devastateur de -32.9% sur les TPS, se traduisant par une perte de revenus estimee a plusieurs centaines de milliers de dollars par jour. Les weekends (-1.8%) et jours feries (-1.9%) presentent des baisses naturelles mais previsibles qui peuvent etre optimisees par des campagnes promotionnelles ciblees.</w:t>
      </w:r>
    </w:p>
    <w:p>
      <w:pPr>
        <w:pStyle w:val="Heading1"/>
      </w:pPr>
      <w:r>
        <w:t xml:space="preserve">5. Analyse des Revenus</w:t>
      </w:r>
    </w:p>
    <w:p>
      <w:pPr>
        <w:spacing w:after="150" w:line="360"/>
      </w:pPr>
      <w:r>
        <w:t xml:space="preserve">Cette section presente une analyse detaillee de la repartition des revenus sur les quatre annees, permettant d'identifier les contributions relatives de chaque periode et les tendances long terme.</w:t>
      </w:r>
    </w:p>
    <w:p>
      <w:pPr>
        <w:spacing w:after="100" w:before="200"/>
        <w:jc w:val="center"/>
      </w:pPr>
      <w:r>
        <w:drawing>
          <wp:inline distT="0" distB="0" distL="0" distR="0">
            <wp:extent cx="5715000" cy="2476500"/>
            <wp:effectExtent t="0" r="0" b="0" l="0"/>
            <wp:docPr id="1" name="fig7" descr="Graphique revenus" title="Repartition rev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4748B"/>
          <w:sz w:val="20"/>
          <w:szCs w:val="20"/>
        </w:rPr>
        <w:t xml:space="preserve">Figure 7 : Repartition et comparaison des revenus par annee</w:t>
      </w:r>
    </w:p>
    <w:p>
      <w:pPr>
        <w:spacing w:after="150" w:line="360"/>
      </w:pPr>
      <w:r>
        <w:t xml:space="preserve">L'annee 2024 se distingue avec la part de revenus la plus elevee (25.1%), suivie de pres par 2023 (25.0%), 2025 (25.0%) et 2026 (25.0%). La repartition equilibree demontre la stabilite du modele economique et la previsibilite des flux de revenus, constituant un atout majeur pour la planification strategique.</w:t>
      </w:r>
    </w:p>
    <w:p>
      <w:pPr>
        <w:pStyle w:val="Heading1"/>
      </w:pPr>
      <w:r>
        <w:t xml:space="preserve">6. Recommandations Strategiques</w:t>
      </w:r>
    </w:p>
    <w:p>
      <w:pPr>
        <w:spacing w:after="200" w:line="360"/>
      </w:pPr>
      <w:r>
        <w:t xml:space="preserve">Sur la base des visualisations et analyses presentees, les recommandations suivantes sont formulees pour optimiser les revenus et minimiser les risques operationnels sur les prochaines annees.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500"/>
        <w:gridCol w:w="3500"/>
        <w:gridCol w:w="2000"/>
        <w:gridCol w:w="1500"/>
        <w:gridCol w:w="2000"/>
      </w:tblGrid>
      <w:tr>
        <w:trPr>
          <w:tblHeader/>
        </w:trPr>
        <w:tc>
          <w:tcPr>
            <w:tcW w:type="dxa" w:w="500"/>
            <w:tcBorders>
              <w:top w:val="single" w:color="CBD5E1" w:sz="1"/>
              <w:left w:val="single" w:color="CBD5E1" w:sz="1"/>
              <w:bottom w:val="single" w:color="CBD5E1" w:sz="1"/>
              <w:right w:val="single" w:color="CBD5E1" w:sz="1"/>
            </w:tcBorders>
            <w:shd w:fill="1E3A5F" w:val="clear"/>
          </w:tcPr>
          <w:p>
            <w:pPr>
              <w:jc w:val="center"/>
            </w:pPr>
            <w:r>
              <w:rPr>
                <w:b/>
                <w:bCs/>
                <w:color w:val="FFFFFF"/>
                <w:sz w:val="18"/>
                <w:szCs w:val="18"/>
              </w:rPr>
              <w:t xml:space="preserve">#</w:t>
            </w:r>
          </w:p>
        </w:tc>
        <w:tc>
          <w:tcPr>
            <w:tcW w:type="dxa" w:w="3500"/>
            <w:tcBorders>
              <w:top w:val="single" w:color="CBD5E1" w:sz="1"/>
              <w:left w:val="single" w:color="CBD5E1" w:sz="1"/>
              <w:bottom w:val="single" w:color="CBD5E1" w:sz="1"/>
              <w:right w:val="single" w:color="CBD5E1" w:sz="1"/>
            </w:tcBorders>
            <w:shd w:fill="1E3A5F" w:val="clear"/>
          </w:tcPr>
          <w:p>
            <w:pPr>
              <w:jc w:val="center"/>
            </w:pPr>
            <w:r>
              <w:rPr>
                <w:b/>
                <w:bCs/>
                <w:color w:val="FFFFFF"/>
                <w:sz w:val="18"/>
                <w:szCs w:val="18"/>
              </w:rPr>
              <w:t xml:space="preserve">Action Recommandee</w:t>
            </w:r>
          </w:p>
        </w:tc>
        <w:tc>
          <w:tcPr>
            <w:tcW w:type="dxa" w:w="2000"/>
            <w:tcBorders>
              <w:top w:val="single" w:color="CBD5E1" w:sz="1"/>
              <w:left w:val="single" w:color="CBD5E1" w:sz="1"/>
              <w:bottom w:val="single" w:color="CBD5E1" w:sz="1"/>
              <w:right w:val="single" w:color="CBD5E1" w:sz="1"/>
            </w:tcBorders>
            <w:shd w:fill="1E3A5F" w:val="clear"/>
          </w:tcPr>
          <w:p>
            <w:pPr>
              <w:jc w:val="center"/>
            </w:pPr>
            <w:r>
              <w:rPr>
                <w:b/>
                <w:bCs/>
                <w:color w:val="FFFFFF"/>
                <w:sz w:val="18"/>
                <w:szCs w:val="18"/>
              </w:rPr>
              <w:t xml:space="preserve">Echeance</w:t>
            </w:r>
          </w:p>
        </w:tc>
        <w:tc>
          <w:tcPr>
            <w:tcW w:type="dxa" w:w="1500"/>
            <w:tcBorders>
              <w:top w:val="single" w:color="CBD5E1" w:sz="1"/>
              <w:left w:val="single" w:color="CBD5E1" w:sz="1"/>
              <w:bottom w:val="single" w:color="CBD5E1" w:sz="1"/>
              <w:right w:val="single" w:color="CBD5E1" w:sz="1"/>
            </w:tcBorders>
            <w:shd w:fill="1E3A5F" w:val="clear"/>
          </w:tcPr>
          <w:p>
            <w:pPr>
              <w:jc w:val="center"/>
            </w:pPr>
            <w:r>
              <w:rPr>
                <w:b/>
                <w:bCs/>
                <w:color w:val="FFFFFF"/>
                <w:sz w:val="18"/>
                <w:szCs w:val="18"/>
              </w:rPr>
              <w:t xml:space="preserve">Priorite</w:t>
            </w:r>
          </w:p>
        </w:tc>
        <w:tc>
          <w:tcPr>
            <w:tcW w:type="dxa" w:w="2000"/>
            <w:tcBorders>
              <w:top w:val="single" w:color="CBD5E1" w:sz="1"/>
              <w:left w:val="single" w:color="CBD5E1" w:sz="1"/>
              <w:bottom w:val="single" w:color="CBD5E1" w:sz="1"/>
              <w:right w:val="single" w:color="CBD5E1" w:sz="1"/>
            </w:tcBorders>
            <w:shd w:fill="1E3A5F" w:val="clear"/>
          </w:tcPr>
          <w:p>
            <w:pPr>
              <w:jc w:val="center"/>
            </w:pPr>
            <w:r>
              <w:rPr>
                <w:b/>
                <w:bCs/>
                <w:color w:val="FFFFFF"/>
                <w:sz w:val="18"/>
                <w:szCs w:val="18"/>
              </w:rPr>
              <w:t xml:space="preserve">Impact Estime</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1</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Maximiser les lancements produits en Q4</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3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+$500K/an</w:t>
            </w:r>
          </w:p>
        </w:tc>
      </w:tr>
      <w:tr>
        <w:tc>
          <w:tcPr>
            <w:tcW w:type="dxa" w:w="500"/>
            <w:tcBorders>
              <w:top w:val="single" w:color="CBD5E1" w:sz="1"/>
              <w:left w:val="single" w:color="CBD5E1" w:sz="1"/>
              <w:bottom w:val="single" w:color="CBD5E1" w:sz="1"/>
              <w:right w:val="single" w:color="CBD5E1" w:sz="1"/>
            </w:tcBorders>
          </w:tcPr>
          <w:p>
            <w:pPr>
              <w:jc w:val="center"/>
            </w:pPr>
            <w:r>
              <w:rPr>
                <w:sz w:val="18"/>
                <w:szCs w:val="18"/>
              </w:rPr>
              <w:t xml:space="preserve">2</w:t>
            </w:r>
          </w:p>
        </w:tc>
        <w:tc>
          <w:tcPr>
            <w:tcW w:type="dxa" w:w="3500"/>
            <w:tcBorders>
              <w:top w:val="single" w:color="CBD5E1" w:sz="1"/>
              <w:left w:val="single" w:color="CBD5E1" w:sz="1"/>
              <w:bottom w:val="single" w:color="CBD5E1" w:sz="1"/>
              <w:right w:val="single" w:color="CBD5E1" w:sz="1"/>
            </w:tcBorders>
          </w:tcPr>
          <w:p>
            <w:r>
              <w:rPr>
                <w:sz w:val="18"/>
                <w:szCs w:val="18"/>
              </w:rPr>
              <w:t xml:space="preserve">Campagnes promotionnelles Q1/Q2</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2 mois</w:t>
            </w:r>
          </w:p>
        </w:tc>
        <w:tc>
          <w:tcPr>
            <w:tcW w:type="dxa" w:w="1500"/>
            <w:tcBorders>
              <w:top w:val="single" w:color="CBD5E1" w:sz="1"/>
              <w:left w:val="single" w:color="CBD5E1" w:sz="1"/>
              <w:bottom w:val="single" w:color="CBD5E1" w:sz="1"/>
              <w:right w:val="single" w:color="CBD5E1" w:sz="1"/>
            </w:tcBorders>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+$1M/an</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3</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Auto-scaling heures ouvrées vs nuit</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6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F59E0B"/>
                <w:sz w:val="18"/>
                <w:szCs w:val="18"/>
              </w:rPr>
              <w:t xml:space="preserve">Moyenne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-15% coûts infra</w:t>
            </w:r>
          </w:p>
        </w:tc>
      </w:tr>
      <w:tr>
        <w:tc>
          <w:tcPr>
            <w:tcW w:type="dxa" w:w="500"/>
            <w:tcBorders>
              <w:top w:val="single" w:color="CBD5E1" w:sz="1"/>
              <w:left w:val="single" w:color="CBD5E1" w:sz="1"/>
              <w:bottom w:val="single" w:color="CBD5E1" w:sz="1"/>
              <w:right w:val="single" w:color="CBD5E1" w:sz="1"/>
            </w:tcBorders>
          </w:tcPr>
          <w:p>
            <w:pPr>
              <w:jc w:val="center"/>
            </w:pPr>
            <w:r>
              <w:rPr>
                <w:sz w:val="18"/>
                <w:szCs w:val="18"/>
              </w:rPr>
              <w:t xml:space="preserve">4</w:t>
            </w:r>
          </w:p>
        </w:tc>
        <w:tc>
          <w:tcPr>
            <w:tcW w:type="dxa" w:w="3500"/>
            <w:tcBorders>
              <w:top w:val="single" w:color="CBD5E1" w:sz="1"/>
              <w:left w:val="single" w:color="CBD5E1" w:sz="1"/>
              <w:bottom w:val="single" w:color="CBD5E1" w:sz="1"/>
              <w:right w:val="single" w:color="CBD5E1" w:sz="1"/>
            </w:tcBorders>
          </w:tcPr>
          <w:p>
            <w:r>
              <w:rPr>
                <w:sz w:val="18"/>
                <w:szCs w:val="18"/>
              </w:rPr>
              <w:t xml:space="preserve">Plan de continuité greves</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1 mois</w:t>
            </w:r>
          </w:p>
        </w:tc>
        <w:tc>
          <w:tcPr>
            <w:tcW w:type="dxa" w:w="1500"/>
            <w:tcBorders>
              <w:top w:val="single" w:color="CBD5E1" w:sz="1"/>
              <w:left w:val="single" w:color="CBD5E1" w:sz="1"/>
              <w:bottom w:val="single" w:color="CBD5E1" w:sz="1"/>
              <w:right w:val="single" w:color="CBD5E1" w:sz="1"/>
            </w:tcBorders>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Prévention $500K</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5</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Partenariats événementiels</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4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F59E0B"/>
                <w:sz w:val="18"/>
                <w:szCs w:val="18"/>
              </w:rPr>
              <w:t xml:space="preserve">Moyenne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+$200K/an</w:t>
            </w:r>
          </w:p>
        </w:tc>
      </w:tr>
    </w:tbl>
    <w:p>
      <w:pPr>
        <w:spacing w:after="200" w:before="50"/>
        <w:jc w:val="center"/>
      </w:pPr>
      <w:r>
        <w:rPr>
          <w:i/>
          <w:iCs/>
          <w:color w:val="64748B"/>
          <w:sz w:val="20"/>
          <w:szCs w:val="20"/>
        </w:rPr>
        <w:t xml:space="preserve">Tableau : Plan d'actions strategiques avec impact estime</w:t>
      </w:r>
    </w:p>
    <w:p>
      <w:pPr>
        <w:pStyle w:val="Heading1"/>
      </w:pPr>
      <w:r>
        <w:t xml:space="preserve">7. Conclusion</w:t>
      </w:r>
    </w:p>
    <w:p>
      <w:pPr>
        <w:spacing w:after="150" w:line="360"/>
      </w:pPr>
      <w:r>
        <w:t xml:space="preserve">L'analyse visuelle des Transactions Par Seconde sur la periode 2023-2026 met en evidence une entreprise a maturite stable avec un potentiel d'optimisation significatif. Les graphiques presentes dans ce rapport permettent d'identifier clairement les opportunites de croissance et les risques a mitiger.</w:t>
      </w:r>
    </w:p>
    <w:p>
      <w:pPr>
        <w:spacing w:after="150" w:line="360"/>
      </w:pPr>
      <w:r>
        <w:t xml:space="preserve">Les principaux enseignements sont : (1) une saisonnalite marquee avec des pics en Q4 representant des opportunites de +$500K, (2) un pattern horaire previsible permettant l'optimisation des infrastructures, (3) des evenements a impact positif exploitables via une planification proactive, et (4) un risque greve majeur necessitant un plan de continuite robuste.</w:t>
      </w:r>
    </w:p>
    <w:p>
      <w:pPr>
        <w:spacing w:after="200" w:line="360"/>
      </w:pPr>
      <w:r>
        <w:t xml:space="preserve">Le potentiel de gains total estime depasse $2.5 millions par an grace a la mise en oeuvre coordonnee des recommandations formulees. Ces projections reposent sur une base solide de donnees historiques et des visualisations permettant une comprehension approfondie des dynamics de l'activite transactionnelle.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Rapport Business TPS 2023-2026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E3A5F"/>
      <w:sz w:val="32"/>
      <w:szCs w:val="32"/>
    </w:rPr>
  </w:style>
  <w:style w:type="paragraph" w:styleId="Heading2">
    <w:name w:val="Heading 2"/>
    <w:basedOn w:val="Normal"/>
    <w:next w:val="Normal"/>
    <w:qFormat/>
    <w:pPr>
      <w:spacing w:after="150" w:before="300"/>
      <w:outlineLvl w:val="1"/>
    </w:pPr>
    <w:rPr>
      <w:b/>
      <w:bCs/>
      <w:color w:val="2C3E50"/>
      <w:sz w:val="26"/>
      <w:szCs w:val="26"/>
    </w:rPr>
  </w:style>
  <w:style w:type="paragraph" w:styleId="Heading3">
    <w:name w:val="Heading 3"/>
    <w:basedOn w:val="Normal"/>
    <w:next w:val="Normal"/>
    <w:qFormat/>
    <w:pPr>
      <w:spacing w:after="100" w:before="200"/>
      <w:outlineLvl w:val="2"/>
    </w:pPr>
    <w:rPr>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63dfe47a3f72884893017c684b72bae40dc9d6.png"/><Relationship Id="rId10" Type="http://schemas.openxmlformats.org/officeDocument/2006/relationships/image" Target="media/443861a5961cd591deedcb54122b3fc93f8de5fc.png"/><Relationship Id="rId11" Type="http://schemas.openxmlformats.org/officeDocument/2006/relationships/image" Target="media/6336930f8c00d41ad25b8e2ac40c004d28b0c466.png"/><Relationship Id="rId12" Type="http://schemas.openxmlformats.org/officeDocument/2006/relationships/image" Target="media/ffdc05f1d5f5dd5c0513ed712624e8ee7ccbbaf9.png"/><Relationship Id="rId13" Type="http://schemas.openxmlformats.org/officeDocument/2006/relationships/image" Target="media/273167f4e9df5a43cb00a0a5b05876628a40be9f.png"/><Relationship Id="rId14" Type="http://schemas.openxmlformats.org/officeDocument/2006/relationships/image" Target="media/c4f89d1b2d6214cae9862d1e464904d5e6270988.png"/><Relationship Id="rId15" Type="http://schemas.openxmlformats.org/officeDocument/2006/relationships/image" Target="media/d29bbd616a60130688842fa7e243a1aea3151c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2026-03-19T10:18:53.530Z</dcterms:created>
  <dcterms:modified xsi:type="dcterms:W3CDTF">2026-03-19T10:18:53.530Z</dcterms:modified>
</cp:coreProperties>
</file>

<file path=docProps/custom.xml><?xml version="1.0" encoding="utf-8"?>
<Properties xmlns="http://schemas.openxmlformats.org/officeDocument/2006/custom-properties" xmlns:vt="http://schemas.openxmlformats.org/officeDocument/2006/docPropsVTypes"/>
</file>