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300"/>
        <w:jc w:val="center"/>
      </w:pPr>
      <w:r>
        <w:rPr>
          <w:b/>
          <w:bCs/>
          <w:color w:val="020617"/>
          <w:sz w:val="52"/>
          <w:szCs w:val="52"/>
        </w:rPr>
        <w:t xml:space="preserve">RAPPORT D'ANALYSE BUSINESS</w:t>
      </w:r>
    </w:p>
    <w:p>
      <w:pPr>
        <w:spacing w:after="200"/>
        <w:jc w:val="center"/>
      </w:pPr>
      <w:r>
        <w:rPr>
          <w:color w:val="64748B"/>
          <w:sz w:val="36"/>
          <w:szCs w:val="36"/>
        </w:rPr>
        <w:t xml:space="preserve">Transactions Par Seconde (TPS)</w:t>
      </w:r>
    </w:p>
    <w:p>
      <w:pPr>
        <w:spacing w:after="400"/>
        <w:jc w:val="center"/>
      </w:pPr>
      <w:r>
        <w:rPr>
          <w:color w:val="94A3B8"/>
          <w:sz w:val="28"/>
          <w:szCs w:val="28"/>
        </w:rPr>
        <w:t xml:space="preserve">Annee 2023 - 2026</w:t>
      </w:r>
    </w:p>
    <w:p>
      <w:pPr>
        <w:spacing w:before="1500"/>
      </w:pPr>
    </w:p>
    <w:p>
      <w:pPr>
        <w:spacing w:after="100"/>
        <w:jc w:val="center"/>
      </w:pPr>
      <w:r>
        <w:rPr>
          <w:i/>
          <w:iCs/>
          <w:color w:val="1E293B"/>
          <w:sz w:val="24"/>
          <w:szCs w:val="24"/>
        </w:rPr>
        <w:t xml:space="preserve">Analyse Strategique des Revenus</w:t>
      </w:r>
    </w:p>
    <w:p>
      <w:pPr>
        <w:jc w:val="center"/>
      </w:pPr>
      <w:r>
        <w:rPr>
          <w:color w:val="64748B"/>
          <w:sz w:val="20"/>
          <w:szCs w:val="20"/>
        </w:rPr>
        <w:t xml:space="preserve">Document Confidentiel - Usage Interne</w:t>
      </w:r>
    </w:p>
    <w:p>
      <w:r>
        <w:br w:type="page"/>
      </w:r>
    </w:p>
    <w:p>
      <w:pPr>
        <w:sectPr>
          <w:pgSz w:w="11906" w:h="16838" w:orient="portrait"/>
          <w:pgMar w:top="0" w:right="0" w:bottom="0" w:left="0" w:header="708" w:footer="708" w:gutter="0"/>
          <w:pgNumType/>
          <w:docGrid w:linePitch="360"/>
        </w:sectPr>
      </w:pPr>
    </w:p>
    <w:p>
      <w:pPr>
        <w:pStyle w:val="Heading1"/>
      </w:pPr>
      <w: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pPr>
        <w:spacing w:before="100"/>
        <w:jc w:val="center"/>
      </w:pPr>
      <w:r>
        <w:rPr>
          <w:i/>
          <w:iCs/>
          <w:color w:val="999999"/>
          <w:sz w:val="18"/>
          <w:szCs w:val="18"/>
        </w:rPr>
        <w:t xml:space="preserve">Note : Cliquez droit sur la table et selectionnez "Mettre a jour le champ"</w:t>
      </w:r>
    </w:p>
    <w:p>
      <w:r>
        <w:br w:type="page"/>
      </w:r>
    </w:p>
    <w:p>
      <w:pPr>
        <w:pStyle w:val="Heading1"/>
      </w:pPr>
      <w:r>
        <w:t xml:space="preserve">1. Resume Executif</w:t>
      </w:r>
    </w:p>
    <w:p>
      <w:pPr>
        <w:spacing w:after="200" w:line="360"/>
      </w:pPr>
      <w:r>
        <w:t xml:space="preserve">Ce rapport presente une analyse complete des performances de l'entreprise sur la periode 2023-2026, en se concentrant sur les Transactions Par Seconde (TPS) comme indicateur principal de revenus. Les TPS representent directement le volume d'activite transactionnelle et constituent un proxy fiable pour evaluer les revenus generes par l'entreprise. L'analyse revele une stabilite remarquable des performances avec des opportunites d'optimisation identifiees.</w:t>
      </w:r>
    </w:p>
    <w:p>
      <w:pPr>
        <w:pStyle w:val="Heading2"/>
      </w:pPr>
      <w:r>
        <w:t xml:space="preserve">1.1 Chiffres Cles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2500"/>
        <w:gridCol w:w="3500"/>
      </w:tblGrid>
      <w:tr>
        <w:trPr>
          <w:tblHeader/>
        </w:trPr>
        <w:tc>
          <w:tcPr>
            <w:tcW w:type="dxa" w:w="3500"/>
            <w:tcBorders>
              <w:top w:val="single" w:color="CBD5E1" w:sz="1"/>
              <w:left w:val="single" w:color="CBD5E1" w:sz="1"/>
              <w:bottom w:val="single" w:color="CBD5E1" w:sz="1"/>
              <w:right w:val="single" w:color="CBD5E1" w:sz="1"/>
            </w:tcBorders>
            <w:shd w:fill="1E293B" w:val="clear"/>
          </w:tcPr>
          <w:p>
            <w:pPr>
              <w:jc w:val="center"/>
            </w:pPr>
            <w:r>
              <w:rPr>
                <w:b/>
                <w:bCs/>
                <w:color w:val="FFFFFF"/>
                <w:sz w:val="22"/>
                <w:szCs w:val="22"/>
              </w:rPr>
              <w:t xml:space="preserve">Indicateur</w:t>
            </w:r>
          </w:p>
        </w:tc>
        <w:tc>
          <w:tcPr>
            <w:tcW w:type="dxa" w:w="2500"/>
            <w:tcBorders>
              <w:top w:val="single" w:color="CBD5E1" w:sz="1"/>
              <w:left w:val="single" w:color="CBD5E1" w:sz="1"/>
              <w:bottom w:val="single" w:color="CBD5E1" w:sz="1"/>
              <w:right w:val="single" w:color="CBD5E1" w:sz="1"/>
            </w:tcBorders>
            <w:shd w:fill="1E293B" w:val="clear"/>
          </w:tcPr>
          <w:p>
            <w:pPr>
              <w:jc w:val="center"/>
            </w:pPr>
            <w:r>
              <w:rPr>
                <w:b/>
                <w:bCs/>
                <w:color w:val="FFFFFF"/>
                <w:sz w:val="22"/>
                <w:szCs w:val="22"/>
              </w:rPr>
              <w:t xml:space="preserve">Valeur</w:t>
            </w:r>
          </w:p>
        </w:tc>
        <w:tc>
          <w:tcPr>
            <w:tcW w:type="dxa" w:w="3500"/>
            <w:tcBorders>
              <w:top w:val="single" w:color="CBD5E1" w:sz="1"/>
              <w:left w:val="single" w:color="CBD5E1" w:sz="1"/>
              <w:bottom w:val="single" w:color="CBD5E1" w:sz="1"/>
              <w:right w:val="single" w:color="CBD5E1" w:sz="1"/>
            </w:tcBorders>
            <w:shd w:fill="1E293B" w:val="clear"/>
          </w:tcPr>
          <w:p>
            <w:pPr>
              <w:jc w:val="center"/>
            </w:pPr>
            <w:r>
              <w:rPr>
                <w:b/>
                <w:bCs/>
                <w:color w:val="FFFFFF"/>
                <w:sz w:val="22"/>
                <w:szCs w:val="22"/>
              </w:rPr>
              <w:t xml:space="preserve">Interpretation</w:t>
            </w:r>
          </w:p>
        </w:tc>
      </w:tr>
      <w:tr>
        <w:tc>
          <w:tcPr>
            <w:tcW w:type="dxa" w:w="3500"/>
            <w:tcBorders>
              <w:top w:val="single" w:color="CBD5E1" w:sz="1"/>
              <w:left w:val="single" w:color="CBD5E1" w:sz="1"/>
              <w:bottom w:val="single" w:color="CBD5E1" w:sz="1"/>
              <w:right w:val="single" w:color="CBD5E1" w:sz="1"/>
            </w:tcBorders>
            <w:shd w:fill="F8FAFC" w:val="clear"/>
          </w:tcPr>
          <w:p>
            <w:pPr>
              <w:jc w:val="center"/>
            </w:pPr>
            <w:r>
              <w:rPr>
                <w:sz w:val="22"/>
                <w:szCs w:val="22"/>
              </w:rPr>
              <w:t xml:space="preserve">TPS Total (4 ans)</w:t>
            </w:r>
          </w:p>
        </w:tc>
        <w:tc>
          <w:tcPr>
            <w:tcW w:type="dxa" w:w="2500"/>
            <w:tcBorders>
              <w:top w:val="single" w:color="CBD5E1" w:sz="1"/>
              <w:left w:val="single" w:color="CBD5E1" w:sz="1"/>
              <w:bottom w:val="single" w:color="CBD5E1" w:sz="1"/>
              <w:right w:val="single" w:color="CBD5E1" w:sz="1"/>
            </w:tcBorders>
            <w:shd w:fill="F8FAFC" w:val="clear"/>
          </w:tcPr>
          <w:p>
            <w:pPr>
              <w:jc w:val="center"/>
            </w:pPr>
            <w:r>
              <w:rPr>
                <w:b/>
                <w:bCs/>
                <w:sz w:val="22"/>
                <w:szCs w:val="22"/>
              </w:rPr>
              <w:t xml:space="preserve">105.3 millions</w:t>
            </w:r>
          </w:p>
        </w:tc>
        <w:tc>
          <w:tcPr>
            <w:tcW w:type="dxa" w:w="3500"/>
            <w:tcBorders>
              <w:top w:val="single" w:color="CBD5E1" w:sz="1"/>
              <w:left w:val="single" w:color="CBD5E1" w:sz="1"/>
              <w:bottom w:val="single" w:color="CBD5E1" w:sz="1"/>
              <w:right w:val="single" w:color="CBD5E1" w:sz="1"/>
            </w:tcBorders>
            <w:shd w:fill="F8FAFC" w:val="clear"/>
          </w:tcPr>
          <w:p>
            <w:pPr>
              <w:jc w:val="center"/>
            </w:pPr>
            <w:r>
              <w:rPr>
                <w:sz w:val="22"/>
                <w:szCs w:val="22"/>
              </w:rPr>
              <w:t xml:space="preserve">Volume total traite</w:t>
            </w:r>
          </w:p>
        </w:tc>
      </w:tr>
      <w:tr>
        <w:tc>
          <w:tcPr>
            <w:tcW w:type="dxa" w:w="3500"/>
            <w:tcBorders>
              <w:top w:val="single" w:color="CBD5E1" w:sz="1"/>
              <w:left w:val="single" w:color="CBD5E1" w:sz="1"/>
              <w:bottom w:val="single" w:color="CBD5E1" w:sz="1"/>
              <w:right w:val="single" w:color="CBD5E1" w:sz="1"/>
            </w:tcBorders>
          </w:tcPr>
          <w:p>
            <w:pPr>
              <w:jc w:val="center"/>
            </w:pPr>
            <w:r>
              <w:rPr>
                <w:sz w:val="22"/>
                <w:szCs w:val="22"/>
              </w:rPr>
              <w:t xml:space="preserve">Revenus Estimes</w:t>
            </w:r>
          </w:p>
        </w:tc>
        <w:tc>
          <w:tcPr>
            <w:tcW w:type="dxa" w:w="2500"/>
            <w:tcBorders>
              <w:top w:val="single" w:color="CBD5E1" w:sz="1"/>
              <w:left w:val="single" w:color="CBD5E1" w:sz="1"/>
              <w:bottom w:val="single" w:color="CBD5E1" w:sz="1"/>
              <w:right w:val="single" w:color="CBD5E1" w:sz="1"/>
            </w:tcBorders>
          </w:tcPr>
          <w:p>
            <w:pPr>
              <w:jc w:val="center"/>
            </w:pPr>
            <w:r>
              <w:rPr>
                <w:b/>
                <w:bCs/>
                <w:sz w:val="22"/>
                <w:szCs w:val="22"/>
              </w:rPr>
              <w:t xml:space="preserve">$105,301 K</w:t>
            </w:r>
          </w:p>
        </w:tc>
        <w:tc>
          <w:tcPr>
            <w:tcW w:type="dxa" w:w="3500"/>
            <w:tcBorders>
              <w:top w:val="single" w:color="CBD5E1" w:sz="1"/>
              <w:left w:val="single" w:color="CBD5E1" w:sz="1"/>
              <w:bottom w:val="single" w:color="CBD5E1" w:sz="1"/>
              <w:right w:val="single" w:color="CBD5E1" w:sz="1"/>
            </w:tcBorders>
          </w:tcPr>
          <w:p>
            <w:pPr>
              <w:jc w:val="center"/>
            </w:pPr>
            <w:r>
              <w:rPr>
                <w:sz w:val="22"/>
                <w:szCs w:val="22"/>
              </w:rPr>
              <w:t xml:space="preserve">Base: $0.001/TPS</w:t>
            </w:r>
          </w:p>
        </w:tc>
      </w:tr>
      <w:tr>
        <w:tc>
          <w:tcPr>
            <w:tcW w:type="dxa" w:w="3500"/>
            <w:tcBorders>
              <w:top w:val="single" w:color="CBD5E1" w:sz="1"/>
              <w:left w:val="single" w:color="CBD5E1" w:sz="1"/>
              <w:bottom w:val="single" w:color="CBD5E1" w:sz="1"/>
              <w:right w:val="single" w:color="CBD5E1" w:sz="1"/>
            </w:tcBorders>
            <w:shd w:fill="F8FAFC" w:val="clear"/>
          </w:tcPr>
          <w:p>
            <w:pPr>
              <w:jc w:val="center"/>
            </w:pPr>
            <w:r>
              <w:rPr>
                <w:sz w:val="22"/>
                <w:szCs w:val="22"/>
              </w:rPr>
              <w:t xml:space="preserve">TPS Moyen Annuel</w:t>
            </w:r>
          </w:p>
        </w:tc>
        <w:tc>
          <w:tcPr>
            <w:tcW w:type="dxa" w:w="2500"/>
            <w:tcBorders>
              <w:top w:val="single" w:color="CBD5E1" w:sz="1"/>
              <w:left w:val="single" w:color="CBD5E1" w:sz="1"/>
              <w:bottom w:val="single" w:color="CBD5E1" w:sz="1"/>
              <w:right w:val="single" w:color="CBD5E1" w:sz="1"/>
            </w:tcBorders>
            <w:shd w:fill="F8FAFC" w:val="clear"/>
          </w:tcPr>
          <w:p>
            <w:pPr>
              <w:jc w:val="center"/>
            </w:pPr>
            <w:r>
              <w:rPr>
                <w:b/>
                <w:bCs/>
                <w:sz w:val="22"/>
                <w:szCs w:val="22"/>
              </w:rPr>
              <w:t xml:space="preserve">3,003</w:t>
            </w:r>
          </w:p>
        </w:tc>
        <w:tc>
          <w:tcPr>
            <w:tcW w:type="dxa" w:w="3500"/>
            <w:tcBorders>
              <w:top w:val="single" w:color="CBD5E1" w:sz="1"/>
              <w:left w:val="single" w:color="CBD5E1" w:sz="1"/>
              <w:bottom w:val="single" w:color="CBD5E1" w:sz="1"/>
              <w:right w:val="single" w:color="CBD5E1" w:sz="1"/>
            </w:tcBorders>
            <w:shd w:fill="F8FAFC" w:val="clear"/>
          </w:tcPr>
          <w:p>
            <w:pPr>
              <w:jc w:val="center"/>
            </w:pPr>
            <w:r>
              <w:rPr>
                <w:sz w:val="22"/>
                <w:szCs w:val="22"/>
              </w:rPr>
              <w:t xml:space="preserve">Capacite nominale stable</w:t>
            </w:r>
          </w:p>
        </w:tc>
      </w:tr>
      <w:tr>
        <w:tc>
          <w:tcPr>
            <w:tcW w:type="dxa" w:w="3500"/>
            <w:tcBorders>
              <w:top w:val="single" w:color="CBD5E1" w:sz="1"/>
              <w:left w:val="single" w:color="CBD5E1" w:sz="1"/>
              <w:bottom w:val="single" w:color="CBD5E1" w:sz="1"/>
              <w:right w:val="single" w:color="CBD5E1" w:sz="1"/>
            </w:tcBorders>
          </w:tcPr>
          <w:p>
            <w:pPr>
              <w:jc w:val="center"/>
            </w:pPr>
            <w:r>
              <w:rPr>
                <w:sz w:val="22"/>
                <w:szCs w:val="22"/>
              </w:rPr>
              <w:t xml:space="preserve">Meilleure Annee</w:t>
            </w:r>
          </w:p>
        </w:tc>
        <w:tc>
          <w:tcPr>
            <w:tcW w:type="dxa" w:w="2500"/>
            <w:tcBorders>
              <w:top w:val="single" w:color="CBD5E1" w:sz="1"/>
              <w:left w:val="single" w:color="CBD5E1" w:sz="1"/>
              <w:bottom w:val="single" w:color="CBD5E1" w:sz="1"/>
              <w:right w:val="single" w:color="CBD5E1" w:sz="1"/>
            </w:tcBorders>
          </w:tcPr>
          <w:p>
            <w:pPr>
              <w:jc w:val="center"/>
            </w:pPr>
            <w:r>
              <w:rPr>
                <w:b/>
                <w:bCs/>
                <w:sz w:val="22"/>
                <w:szCs w:val="22"/>
              </w:rPr>
              <w:t xml:space="preserve">2024</w:t>
            </w:r>
          </w:p>
        </w:tc>
        <w:tc>
          <w:tcPr>
            <w:tcW w:type="dxa" w:w="3500"/>
            <w:tcBorders>
              <w:top w:val="single" w:color="CBD5E1" w:sz="1"/>
              <w:left w:val="single" w:color="CBD5E1" w:sz="1"/>
              <w:bottom w:val="single" w:color="CBD5E1" w:sz="1"/>
              <w:right w:val="single" w:color="CBD5E1" w:sz="1"/>
            </w:tcBorders>
          </w:tcPr>
          <w:p>
            <w:pPr>
              <w:jc w:val="center"/>
            </w:pPr>
            <w:r>
              <w:rPr>
                <w:sz w:val="22"/>
                <w:szCs w:val="22"/>
              </w:rPr>
              <w:t xml:space="preserve">+0.45% vs 2023</w:t>
            </w:r>
          </w:p>
        </w:tc>
      </w:tr>
    </w:tbl>
    <w:p>
      <w:pPr>
        <w:spacing w:after="200" w:before="50"/>
        <w:jc w:val="center"/>
      </w:pPr>
      <w:r>
        <w:rPr>
          <w:i/>
          <w:iCs/>
          <w:color w:val="64748B"/>
          <w:sz w:val="20"/>
          <w:szCs w:val="20"/>
        </w:rPr>
        <w:t xml:space="preserve">Tableau 1 : Indicateurs cles de performance sur 4 ans</w:t>
      </w:r>
    </w:p>
    <w:p>
      <w:pPr>
        <w:pStyle w:val="Heading1"/>
      </w:pPr>
      <w:r>
        <w:t xml:space="preserve">2. Analyse Annuelle des Revenus</w:t>
      </w:r>
    </w:p>
    <w:p>
      <w:pPr>
        <w:spacing w:after="200" w:line="360"/>
      </w:pPr>
      <w:r>
        <w:t xml:space="preserve">L'analyse chronologique des performances sur quatre annees revele une trajectoire stable avec des variations marginales. Cette section detaille l'evolution des TPS et leur impact direct sur les revenus de l'entreprise. Il est essentiel de comprendre que chaque point de pourcentage de variation des TPS se traduit directement par une variation equivalente des revenus, ce qui confere a cet indicateur une importance strategique majeure pour les decisions de gestion.</w:t>
      </w:r>
    </w:p>
    <w:p>
      <w:pPr>
        <w:pStyle w:val="Heading2"/>
      </w:pPr>
      <w:r>
        <w:t xml:space="preserve">2.1 Performance par Annee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1500"/>
        <w:gridCol w:w="2000"/>
        <w:gridCol w:w="1800"/>
        <w:gridCol w:w="1800"/>
        <w:gridCol w:w="2000"/>
      </w:tblGrid>
      <w:tr>
        <w:trPr>
          <w:tblHeader/>
        </w:trPr>
        <w:tc>
          <w:tcPr>
            <w:tcW w:type="dxa" w:w="1500"/>
            <w:tcBorders>
              <w:top w:val="single" w:color="CBD5E1" w:sz="1"/>
              <w:left w:val="single" w:color="CBD5E1" w:sz="1"/>
              <w:bottom w:val="single" w:color="CBD5E1" w:sz="1"/>
              <w:right w:val="single" w:color="CBD5E1" w:sz="1"/>
            </w:tcBorders>
            <w:shd w:fill="1E293B" w:val="clear"/>
          </w:tcPr>
          <w:p>
            <w:pPr>
              <w:jc w:val="center"/>
            </w:pPr>
            <w:r>
              <w:rPr>
                <w:b/>
                <w:bCs/>
                <w:color w:val="FFFFFF"/>
                <w:sz w:val="20"/>
                <w:szCs w:val="20"/>
              </w:rPr>
              <w:t xml:space="preserve">Annee</w:t>
            </w:r>
          </w:p>
        </w:tc>
        <w:tc>
          <w:tcPr>
            <w:tcW w:type="dxa" w:w="2000"/>
            <w:tcBorders>
              <w:top w:val="single" w:color="CBD5E1" w:sz="1"/>
              <w:left w:val="single" w:color="CBD5E1" w:sz="1"/>
              <w:bottom w:val="single" w:color="CBD5E1" w:sz="1"/>
              <w:right w:val="single" w:color="CBD5E1" w:sz="1"/>
            </w:tcBorders>
            <w:shd w:fill="1E293B" w:val="clear"/>
          </w:tcPr>
          <w:p>
            <w:pPr>
              <w:jc w:val="center"/>
            </w:pPr>
            <w:r>
              <w:rPr>
                <w:b/>
                <w:bCs/>
                <w:color w:val="FFFFFF"/>
                <w:sz w:val="20"/>
                <w:szCs w:val="20"/>
              </w:rPr>
              <w:t xml:space="preserve">Total TPS</w:t>
            </w:r>
          </w:p>
        </w:tc>
        <w:tc>
          <w:tcPr>
            <w:tcW w:type="dxa" w:w="1800"/>
            <w:tcBorders>
              <w:top w:val="single" w:color="CBD5E1" w:sz="1"/>
              <w:left w:val="single" w:color="CBD5E1" w:sz="1"/>
              <w:bottom w:val="single" w:color="CBD5E1" w:sz="1"/>
              <w:right w:val="single" w:color="CBD5E1" w:sz="1"/>
            </w:tcBorders>
            <w:shd w:fill="1E293B" w:val="clear"/>
          </w:tcPr>
          <w:p>
            <w:pPr>
              <w:jc w:val="center"/>
            </w:pPr>
            <w:r>
              <w:rPr>
                <w:b/>
                <w:bCs/>
                <w:color w:val="FFFFFF"/>
                <w:sz w:val="20"/>
                <w:szCs w:val="20"/>
              </w:rPr>
              <w:t xml:space="preserve">TPS Moyen</w:t>
            </w:r>
          </w:p>
        </w:tc>
        <w:tc>
          <w:tcPr>
            <w:tcW w:type="dxa" w:w="1800"/>
            <w:tcBorders>
              <w:top w:val="single" w:color="CBD5E1" w:sz="1"/>
              <w:left w:val="single" w:color="CBD5E1" w:sz="1"/>
              <w:bottom w:val="single" w:color="CBD5E1" w:sz="1"/>
              <w:right w:val="single" w:color="CBD5E1" w:sz="1"/>
            </w:tcBorders>
            <w:shd w:fill="1E293B" w:val="clear"/>
          </w:tcPr>
          <w:p>
            <w:pPr>
              <w:jc w:val="center"/>
            </w:pPr>
            <w:r>
              <w:rPr>
                <w:b/>
                <w:bCs/>
                <w:color w:val="FFFFFF"/>
                <w:sz w:val="20"/>
                <w:szCs w:val="20"/>
              </w:rPr>
              <w:t xml:space="preserve">Revenus ($K)</w:t>
            </w:r>
          </w:p>
        </w:tc>
        <w:tc>
          <w:tcPr>
            <w:tcW w:type="dxa" w:w="2000"/>
            <w:tcBorders>
              <w:top w:val="single" w:color="CBD5E1" w:sz="1"/>
              <w:left w:val="single" w:color="CBD5E1" w:sz="1"/>
              <w:bottom w:val="single" w:color="CBD5E1" w:sz="1"/>
              <w:right w:val="single" w:color="CBD5E1" w:sz="1"/>
            </w:tcBorders>
            <w:shd w:fill="1E293B" w:val="clear"/>
          </w:tcPr>
          <w:p>
            <w:pPr>
              <w:jc w:val="center"/>
            </w:pPr>
            <w:r>
              <w:rPr>
                <w:b/>
                <w:bCs/>
                <w:color w:val="FFFFFF"/>
                <w:sz w:val="20"/>
                <w:szCs w:val="20"/>
              </w:rPr>
              <w:t xml:space="preserve">Croissance (%)</w:t>
            </w:r>
          </w:p>
        </w:tc>
      </w:tr>
      <w:tr>
        <w:tc>
          <w:tcPr>
            <w:tcW w:type="dxa" w:w="1500"/>
            <w:tcBorders>
              <w:top w:val="single" w:color="CBD5E1" w:sz="1"/>
              <w:left w:val="single" w:color="CBD5E1" w:sz="1"/>
              <w:bottom w:val="single" w:color="CBD5E1" w:sz="1"/>
              <w:right w:val="single" w:color="CBD5E1" w:sz="1"/>
            </w:tcBorders>
            <w:shd w:fill="F8FAFC" w:val="clear"/>
          </w:tcPr>
          <w:p>
            <w:pPr>
              <w:jc w:val="center"/>
            </w:pPr>
            <w:r>
              <w:rPr>
                <w:b/>
                <w:bCs/>
                <w:sz w:val="20"/>
                <w:szCs w:val="20"/>
              </w:rPr>
              <w:t xml:space="preserve">2023</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26.30 M</w:t>
            </w:r>
          </w:p>
        </w:tc>
        <w:tc>
          <w:tcPr>
            <w:tcW w:type="dxa" w:w="18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3002</w:t>
            </w:r>
          </w:p>
        </w:tc>
        <w:tc>
          <w:tcPr>
            <w:tcW w:type="dxa" w:w="18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$26295.44</w:t>
            </w:r>
          </w:p>
        </w:tc>
        <w:tc>
          <w:tcPr>
            <w:tcW w:type="dxa" w:w="2000"/>
            <w:tcBorders>
              <w:top w:val="single" w:color="CBD5E1" w:sz="1"/>
              <w:left w:val="single" w:color="CBD5E1" w:sz="1"/>
              <w:bottom w:val="single" w:color="CBD5E1" w:sz="1"/>
              <w:right w:val="single" w:color="CBD5E1" w:sz="1"/>
            </w:tcBorders>
            <w:shd w:fill="F8FAFC" w:val="clear"/>
          </w:tcPr>
          <w:p>
            <w:pPr>
              <w:jc w:val="center"/>
            </w:pPr>
            <w:r>
              <w:rPr>
                <w:color w:val="000000"/>
                <w:sz w:val="20"/>
                <w:szCs w:val="20"/>
              </w:rPr>
              <w:t xml:space="preserve">-</w:t>
            </w:r>
          </w:p>
        </w:tc>
      </w:tr>
      <w:tr>
        <w:tc>
          <w:tcPr>
            <w:tcW w:type="dxa" w:w="1500"/>
            <w:tcBorders>
              <w:top w:val="single" w:color="CBD5E1" w:sz="1"/>
              <w:left w:val="single" w:color="CBD5E1" w:sz="1"/>
              <w:bottom w:val="single" w:color="CBD5E1" w:sz="1"/>
              <w:right w:val="single" w:color="CBD5E1" w:sz="1"/>
            </w:tcBorders>
            <w:shd w:fill="FFFFFF" w:val="clear"/>
          </w:tcPr>
          <w:p>
            <w:pPr>
              <w:jc w:val="center"/>
            </w:pPr>
            <w:r>
              <w:rPr>
                <w:b/>
                <w:bCs/>
                <w:sz w:val="20"/>
                <w:szCs w:val="20"/>
              </w:rPr>
              <w:t xml:space="preserve">2024</w:t>
            </w:r>
          </w:p>
        </w:tc>
        <w:tc>
          <w:tcPr>
            <w:tcW w:type="dxa" w:w="20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26.41 M</w:t>
            </w:r>
          </w:p>
        </w:tc>
        <w:tc>
          <w:tcPr>
            <w:tcW w:type="dxa" w:w="18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3007</w:t>
            </w:r>
          </w:p>
        </w:tc>
        <w:tc>
          <w:tcPr>
            <w:tcW w:type="dxa" w:w="18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$26413.32</w:t>
            </w:r>
          </w:p>
        </w:tc>
        <w:tc>
          <w:tcPr>
            <w:tcW w:type="dxa" w:w="2000"/>
            <w:tcBorders>
              <w:top w:val="single" w:color="CBD5E1" w:sz="1"/>
              <w:left w:val="single" w:color="CBD5E1" w:sz="1"/>
              <w:bottom w:val="single" w:color="CBD5E1" w:sz="1"/>
              <w:right w:val="single" w:color="CBD5E1" w:sz="1"/>
            </w:tcBorders>
            <w:shd w:fill="FFFFFF" w:val="clear"/>
          </w:tcPr>
          <w:p>
            <w:pPr>
              <w:jc w:val="center"/>
            </w:pPr>
            <w:r>
              <w:rPr>
                <w:color w:val="16A34A"/>
                <w:sz w:val="20"/>
                <w:szCs w:val="20"/>
              </w:rPr>
              <w:t xml:space="preserve">+0.45%</w:t>
            </w:r>
          </w:p>
        </w:tc>
      </w:tr>
      <w:tr>
        <w:tc>
          <w:tcPr>
            <w:tcW w:type="dxa" w:w="1500"/>
            <w:tcBorders>
              <w:top w:val="single" w:color="CBD5E1" w:sz="1"/>
              <w:left w:val="single" w:color="CBD5E1" w:sz="1"/>
              <w:bottom w:val="single" w:color="CBD5E1" w:sz="1"/>
              <w:right w:val="single" w:color="CBD5E1" w:sz="1"/>
            </w:tcBorders>
            <w:shd w:fill="F8FAFC" w:val="clear"/>
          </w:tcPr>
          <w:p>
            <w:pPr>
              <w:jc w:val="center"/>
            </w:pPr>
            <w:r>
              <w:rPr>
                <w:b/>
                <w:bCs/>
                <w:sz w:val="20"/>
                <w:szCs w:val="20"/>
              </w:rPr>
              <w:t xml:space="preserve">2025</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26.30 M</w:t>
            </w:r>
          </w:p>
        </w:tc>
        <w:tc>
          <w:tcPr>
            <w:tcW w:type="dxa" w:w="18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3002</w:t>
            </w:r>
          </w:p>
        </w:tc>
        <w:tc>
          <w:tcPr>
            <w:tcW w:type="dxa" w:w="18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$26296.62</w:t>
            </w:r>
          </w:p>
        </w:tc>
        <w:tc>
          <w:tcPr>
            <w:tcW w:type="dxa" w:w="2000"/>
            <w:tcBorders>
              <w:top w:val="single" w:color="CBD5E1" w:sz="1"/>
              <w:left w:val="single" w:color="CBD5E1" w:sz="1"/>
              <w:bottom w:val="single" w:color="CBD5E1" w:sz="1"/>
              <w:right w:val="single" w:color="CBD5E1" w:sz="1"/>
            </w:tcBorders>
            <w:shd w:fill="F8FAFC" w:val="clear"/>
          </w:tcPr>
          <w:p>
            <w:pPr>
              <w:jc w:val="center"/>
            </w:pPr>
            <w:r>
              <w:rPr>
                <w:color w:val="DC2626"/>
                <w:sz w:val="20"/>
                <w:szCs w:val="20"/>
              </w:rPr>
              <w:t xml:space="preserve">-0.44%</w:t>
            </w:r>
          </w:p>
        </w:tc>
      </w:tr>
      <w:tr>
        <w:tc>
          <w:tcPr>
            <w:tcW w:type="dxa" w:w="1500"/>
            <w:tcBorders>
              <w:top w:val="single" w:color="CBD5E1" w:sz="1"/>
              <w:left w:val="single" w:color="CBD5E1" w:sz="1"/>
              <w:bottom w:val="single" w:color="CBD5E1" w:sz="1"/>
              <w:right w:val="single" w:color="CBD5E1" w:sz="1"/>
            </w:tcBorders>
            <w:shd w:fill="FFFFFF" w:val="clear"/>
          </w:tcPr>
          <w:p>
            <w:pPr>
              <w:jc w:val="center"/>
            </w:pPr>
            <w:r>
              <w:rPr>
                <w:b/>
                <w:bCs/>
                <w:sz w:val="20"/>
                <w:szCs w:val="20"/>
              </w:rPr>
              <w:t xml:space="preserve">2026</w:t>
            </w:r>
          </w:p>
        </w:tc>
        <w:tc>
          <w:tcPr>
            <w:tcW w:type="dxa" w:w="20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26.30 M</w:t>
            </w:r>
          </w:p>
        </w:tc>
        <w:tc>
          <w:tcPr>
            <w:tcW w:type="dxa" w:w="18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3002</w:t>
            </w:r>
          </w:p>
        </w:tc>
        <w:tc>
          <w:tcPr>
            <w:tcW w:type="dxa" w:w="18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$26295.26</w:t>
            </w:r>
          </w:p>
        </w:tc>
        <w:tc>
          <w:tcPr>
            <w:tcW w:type="dxa" w:w="2000"/>
            <w:tcBorders>
              <w:top w:val="single" w:color="CBD5E1" w:sz="1"/>
              <w:left w:val="single" w:color="CBD5E1" w:sz="1"/>
              <w:bottom w:val="single" w:color="CBD5E1" w:sz="1"/>
              <w:right w:val="single" w:color="CBD5E1" w:sz="1"/>
            </w:tcBorders>
            <w:shd w:fill="FFFFFF" w:val="clear"/>
          </w:tcPr>
          <w:p>
            <w:pPr>
              <w:jc w:val="center"/>
            </w:pPr>
            <w:r>
              <w:rPr>
                <w:color w:val="DC2626"/>
                <w:sz w:val="20"/>
                <w:szCs w:val="20"/>
              </w:rPr>
              <w:t xml:space="preserve">-0.01%</w:t>
            </w:r>
          </w:p>
        </w:tc>
      </w:tr>
    </w:tbl>
    <w:p>
      <w:pPr>
        <w:spacing w:after="200" w:before="50"/>
        <w:jc w:val="center"/>
      </w:pPr>
      <w:r>
        <w:rPr>
          <w:i/>
          <w:iCs/>
          <w:color w:val="64748B"/>
          <w:sz w:val="20"/>
          <w:szCs w:val="20"/>
        </w:rPr>
        <w:t xml:space="preserve">Tableau 2 : Evolution des TPS et revenus par annee</w:t>
      </w:r>
    </w:p>
    <w:p>
      <w:pPr>
        <w:pStyle w:val="Heading2"/>
      </w:pPr>
      <w:r>
        <w:t xml:space="preserve">2.2 Interpretation pour les Decideurs</w:t>
      </w:r>
    </w:p>
    <w:p>
      <w:pPr>
        <w:spacing w:after="150" w:line="360"/>
      </w:pPr>
      <w:r>
        <w:t xml:space="preserve">L'analyse des donnees sur quatre annees met en evidence plusieurs constats strategiques importants pour la direction. La premiere observation majeure concerne la stabilite exceptionnelle du volume transactionnel, avec une variance inferieure a 1% d'une annee sur l'autre. Cette stabilite traduit une base clientele solide et des processus operationnels matures qui meritent d'etre preserves.</w:t>
      </w:r>
    </w:p>
    <w:p>
      <w:pPr>
        <w:spacing w:after="200" w:line="360"/>
      </w:pPr>
      <w:r>
        <w:t xml:space="preserve">L'annee 2024 constitue le pic de performance avec une croissance de +0.45% par rapport a 2023, generant ainsi des revenus supplementaires estimes a environ $118,000. Cette performance peut etre attribuee a une conjonction favorable de facteurs exogenes positifs, notamment un nombre accru de campagnes promotionnelles et une stabilite operationnelle optimale.</w:t>
      </w:r>
    </w:p>
    <w:p>
      <w:pPr>
        <w:pStyle w:val="Heading1"/>
      </w:pPr>
      <w:r>
        <w:t xml:space="preserve">3. Analyse Saisonniere</w:t>
      </w:r>
    </w:p>
    <w:p>
      <w:pPr>
        <w:spacing w:after="200" w:line="360"/>
      </w:pPr>
      <w:r>
        <w:t xml:space="preserve">La comprehension des cycles saisonniers est fondamentale pour l'optimisation des ressources et la planification strategique. Les TPS presentent des variations saisonnieres significatives qui impactent directement les revenus et necessitent une allocation adaptee des moyens techniques et humains.</w:t>
      </w:r>
    </w:p>
    <w:p>
      <w:pPr>
        <w:pStyle w:val="Heading2"/>
      </w:pPr>
      <w:r>
        <w:t xml:space="preserve">3.1 Variations Mensuelles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500"/>
        <w:gridCol w:w="2000"/>
        <w:gridCol w:w="2500"/>
        <w:gridCol w:w="2500"/>
      </w:tblGrid>
      <w:tr>
        <w:trPr>
          <w:tblHeader/>
        </w:trPr>
        <w:tc>
          <w:tcPr>
            <w:tcW w:type="dxa" w:w="2500"/>
            <w:tcBorders>
              <w:top w:val="single" w:color="CBD5E1" w:sz="1"/>
              <w:left w:val="single" w:color="CBD5E1" w:sz="1"/>
              <w:bottom w:val="single" w:color="CBD5E1" w:sz="1"/>
              <w:right w:val="single" w:color="CBD5E1" w:sz="1"/>
            </w:tcBorders>
            <w:shd w:fill="1E293B" w:val="clear"/>
          </w:tcPr>
          <w:p>
            <w:pPr>
              <w:jc w:val="center"/>
            </w:pPr>
            <w:r>
              <w:rPr>
                <w:b/>
                <w:bCs/>
                <w:color w:val="FFFFFF"/>
                <w:sz w:val="20"/>
                <w:szCs w:val="20"/>
              </w:rPr>
              <w:t xml:space="preserve">Mois</w:t>
            </w:r>
          </w:p>
        </w:tc>
        <w:tc>
          <w:tcPr>
            <w:tcW w:type="dxa" w:w="2000"/>
            <w:tcBorders>
              <w:top w:val="single" w:color="CBD5E1" w:sz="1"/>
              <w:left w:val="single" w:color="CBD5E1" w:sz="1"/>
              <w:bottom w:val="single" w:color="CBD5E1" w:sz="1"/>
              <w:right w:val="single" w:color="CBD5E1" w:sz="1"/>
            </w:tcBorders>
            <w:shd w:fill="1E293B" w:val="clear"/>
          </w:tcPr>
          <w:p>
            <w:pPr>
              <w:jc w:val="center"/>
            </w:pPr>
            <w:r>
              <w:rPr>
                <w:b/>
                <w:bCs/>
                <w:color w:val="FFFFFF"/>
                <w:sz w:val="20"/>
                <w:szCs w:val="20"/>
              </w:rPr>
              <w:t xml:space="preserve">TPS Moyen</w:t>
            </w:r>
          </w:p>
        </w:tc>
        <w:tc>
          <w:tcPr>
            <w:tcW w:type="dxa" w:w="2500"/>
            <w:tcBorders>
              <w:top w:val="single" w:color="CBD5E1" w:sz="1"/>
              <w:left w:val="single" w:color="CBD5E1" w:sz="1"/>
              <w:bottom w:val="single" w:color="CBD5E1" w:sz="1"/>
              <w:right w:val="single" w:color="CBD5E1" w:sz="1"/>
            </w:tcBorders>
            <w:shd w:fill="1E293B" w:val="clear"/>
          </w:tcPr>
          <w:p>
            <w:pPr>
              <w:jc w:val="center"/>
            </w:pPr>
            <w:r>
              <w:rPr>
                <w:b/>
                <w:bCs/>
                <w:color w:val="FFFFFF"/>
                <w:sz w:val="20"/>
                <w:szCs w:val="20"/>
              </w:rPr>
              <w:t xml:space="preserve">Saison</w:t>
            </w:r>
          </w:p>
        </w:tc>
        <w:tc>
          <w:tcPr>
            <w:tcW w:type="dxa" w:w="2500"/>
            <w:tcBorders>
              <w:top w:val="single" w:color="CBD5E1" w:sz="1"/>
              <w:left w:val="single" w:color="CBD5E1" w:sz="1"/>
              <w:bottom w:val="single" w:color="CBD5E1" w:sz="1"/>
              <w:right w:val="single" w:color="CBD5E1" w:sz="1"/>
            </w:tcBorders>
            <w:shd w:fill="1E293B" w:val="clear"/>
          </w:tcPr>
          <w:p>
            <w:pPr>
              <w:jc w:val="center"/>
            </w:pPr>
            <w:r>
              <w:rPr>
                <w:b/>
                <w:bCs/>
                <w:color w:val="FFFFFF"/>
                <w:sz w:val="20"/>
                <w:szCs w:val="20"/>
              </w:rPr>
              <w:t xml:space="preserve">Revenu Estime ($K)</w:t>
            </w:r>
          </w:p>
        </w:tc>
      </w:tr>
      <w:tr>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Janvier</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914</w:t>
            </w:r>
          </w:p>
        </w:tc>
        <w:tc>
          <w:tcPr>
            <w:tcW w:type="dxa" w:w="2500"/>
            <w:tcBorders>
              <w:top w:val="single" w:color="CBD5E1" w:sz="1"/>
              <w:left w:val="single" w:color="CBD5E1" w:sz="1"/>
              <w:bottom w:val="single" w:color="CBD5E1" w:sz="1"/>
              <w:right w:val="single" w:color="CBD5E1" w:sz="1"/>
            </w:tcBorders>
            <w:shd w:fill="F8FAFC" w:val="clear"/>
          </w:tcPr>
          <w:p>
            <w:pPr>
              <w:jc w:val="center"/>
            </w:pPr>
            <w:r>
              <w:rPr>
                <w:color w:val="64748B"/>
                <w:sz w:val="20"/>
                <w:szCs w:val="20"/>
              </w:rPr>
              <w:t xml:space="preserve">Basse</w:t>
            </w:r>
          </w:p>
        </w:tc>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$658.08</w:t>
            </w:r>
          </w:p>
        </w:tc>
      </w:tr>
      <w:tr>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Fevrier</w:t>
            </w:r>
          </w:p>
        </w:tc>
        <w:tc>
          <w:tcPr>
            <w:tcW w:type="dxa" w:w="20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957</w:t>
            </w:r>
          </w:p>
        </w:tc>
        <w:tc>
          <w:tcPr>
            <w:tcW w:type="dxa" w:w="2500"/>
            <w:tcBorders>
              <w:top w:val="single" w:color="CBD5E1" w:sz="1"/>
              <w:left w:val="single" w:color="CBD5E1" w:sz="1"/>
              <w:bottom w:val="single" w:color="CBD5E1" w:sz="1"/>
              <w:right w:val="single" w:color="CBD5E1" w:sz="1"/>
            </w:tcBorders>
            <w:shd w:fill="FFFFFF" w:val="clear"/>
          </w:tcPr>
          <w:p>
            <w:pPr>
              <w:jc w:val="center"/>
            </w:pPr>
            <w:r>
              <w:rPr>
                <w:color w:val="64748B"/>
                <w:sz w:val="20"/>
                <w:szCs w:val="20"/>
              </w:rPr>
              <w:t xml:space="preserve">Basse</w:t>
            </w:r>
          </w:p>
        </w:tc>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$689.04</w:t>
            </w:r>
          </w:p>
        </w:tc>
      </w:tr>
      <w:tr>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Mars</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1,326</w:t>
            </w:r>
          </w:p>
        </w:tc>
        <w:tc>
          <w:tcPr>
            <w:tcW w:type="dxa" w:w="2500"/>
            <w:tcBorders>
              <w:top w:val="single" w:color="CBD5E1" w:sz="1"/>
              <w:left w:val="single" w:color="CBD5E1" w:sz="1"/>
              <w:bottom w:val="single" w:color="CBD5E1" w:sz="1"/>
              <w:right w:val="single" w:color="CBD5E1" w:sz="1"/>
            </w:tcBorders>
            <w:shd w:fill="F8FAFC" w:val="clear"/>
          </w:tcPr>
          <w:p>
            <w:pPr>
              <w:jc w:val="center"/>
            </w:pPr>
            <w:r>
              <w:rPr>
                <w:color w:val="F59E0B"/>
                <w:sz w:val="20"/>
                <w:szCs w:val="20"/>
              </w:rPr>
              <w:t xml:space="preserve">Moyenne</w:t>
            </w:r>
          </w:p>
        </w:tc>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$954.72</w:t>
            </w:r>
          </w:p>
        </w:tc>
      </w:tr>
      <w:tr>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Avril</w:t>
            </w:r>
          </w:p>
        </w:tc>
        <w:tc>
          <w:tcPr>
            <w:tcW w:type="dxa" w:w="20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1,512</w:t>
            </w:r>
          </w:p>
        </w:tc>
        <w:tc>
          <w:tcPr>
            <w:tcW w:type="dxa" w:w="2500"/>
            <w:tcBorders>
              <w:top w:val="single" w:color="CBD5E1" w:sz="1"/>
              <w:left w:val="single" w:color="CBD5E1" w:sz="1"/>
              <w:bottom w:val="single" w:color="CBD5E1" w:sz="1"/>
              <w:right w:val="single" w:color="CBD5E1" w:sz="1"/>
            </w:tcBorders>
            <w:shd w:fill="FFFFFF" w:val="clear"/>
          </w:tcPr>
          <w:p>
            <w:pPr>
              <w:jc w:val="center"/>
            </w:pPr>
            <w:r>
              <w:rPr>
                <w:color w:val="F59E0B"/>
                <w:sz w:val="20"/>
                <w:szCs w:val="20"/>
              </w:rPr>
              <w:t xml:space="preserve">Moyenne</w:t>
            </w:r>
          </w:p>
        </w:tc>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$1088.64</w:t>
            </w:r>
          </w:p>
        </w:tc>
      </w:tr>
      <w:tr>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Mai</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1,816</w:t>
            </w:r>
          </w:p>
        </w:tc>
        <w:tc>
          <w:tcPr>
            <w:tcW w:type="dxa" w:w="2500"/>
            <w:tcBorders>
              <w:top w:val="single" w:color="CBD5E1" w:sz="1"/>
              <w:left w:val="single" w:color="CBD5E1" w:sz="1"/>
              <w:bottom w:val="single" w:color="CBD5E1" w:sz="1"/>
              <w:right w:val="single" w:color="CBD5E1" w:sz="1"/>
            </w:tcBorders>
            <w:shd w:fill="F8FAFC" w:val="clear"/>
          </w:tcPr>
          <w:p>
            <w:pPr>
              <w:jc w:val="center"/>
            </w:pPr>
            <w:r>
              <w:rPr>
                <w:color w:val="F59E0B"/>
                <w:sz w:val="20"/>
                <w:szCs w:val="20"/>
              </w:rPr>
              <w:t xml:space="preserve">Moyenne</w:t>
            </w:r>
          </w:p>
        </w:tc>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$1307.52</w:t>
            </w:r>
          </w:p>
        </w:tc>
      </w:tr>
      <w:tr>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Juin</w:t>
            </w:r>
          </w:p>
        </w:tc>
        <w:tc>
          <w:tcPr>
            <w:tcW w:type="dxa" w:w="20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2,011</w:t>
            </w:r>
          </w:p>
        </w:tc>
        <w:tc>
          <w:tcPr>
            <w:tcW w:type="dxa" w:w="2500"/>
            <w:tcBorders>
              <w:top w:val="single" w:color="CBD5E1" w:sz="1"/>
              <w:left w:val="single" w:color="CBD5E1" w:sz="1"/>
              <w:bottom w:val="single" w:color="CBD5E1" w:sz="1"/>
              <w:right w:val="single" w:color="CBD5E1" w:sz="1"/>
            </w:tcBorders>
            <w:shd w:fill="FFFFFF" w:val="clear"/>
          </w:tcPr>
          <w:p>
            <w:pPr>
              <w:jc w:val="center"/>
            </w:pPr>
            <w:r>
              <w:rPr>
                <w:color w:val="0EA5E9"/>
                <w:sz w:val="20"/>
                <w:szCs w:val="20"/>
              </w:rPr>
              <w:t xml:space="preserve">Haute</w:t>
            </w:r>
          </w:p>
        </w:tc>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$1447.92</w:t>
            </w:r>
          </w:p>
        </w:tc>
      </w:tr>
      <w:tr>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Juillet</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2,333</w:t>
            </w:r>
          </w:p>
        </w:tc>
        <w:tc>
          <w:tcPr>
            <w:tcW w:type="dxa" w:w="2500"/>
            <w:tcBorders>
              <w:top w:val="single" w:color="CBD5E1" w:sz="1"/>
              <w:left w:val="single" w:color="CBD5E1" w:sz="1"/>
              <w:bottom w:val="single" w:color="CBD5E1" w:sz="1"/>
              <w:right w:val="single" w:color="CBD5E1" w:sz="1"/>
            </w:tcBorders>
            <w:shd w:fill="F8FAFC" w:val="clear"/>
          </w:tcPr>
          <w:p>
            <w:pPr>
              <w:jc w:val="center"/>
            </w:pPr>
            <w:r>
              <w:rPr>
                <w:color w:val="0EA5E9"/>
                <w:sz w:val="20"/>
                <w:szCs w:val="20"/>
              </w:rPr>
              <w:t xml:space="preserve">Haute</w:t>
            </w:r>
          </w:p>
        </w:tc>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$1679.76</w:t>
            </w:r>
          </w:p>
        </w:tc>
      </w:tr>
      <w:tr>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Aout</w:t>
            </w:r>
          </w:p>
        </w:tc>
        <w:tc>
          <w:tcPr>
            <w:tcW w:type="dxa" w:w="20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2,615</w:t>
            </w:r>
          </w:p>
        </w:tc>
        <w:tc>
          <w:tcPr>
            <w:tcW w:type="dxa" w:w="2500"/>
            <w:tcBorders>
              <w:top w:val="single" w:color="CBD5E1" w:sz="1"/>
              <w:left w:val="single" w:color="CBD5E1" w:sz="1"/>
              <w:bottom w:val="single" w:color="CBD5E1" w:sz="1"/>
              <w:right w:val="single" w:color="CBD5E1" w:sz="1"/>
            </w:tcBorders>
            <w:shd w:fill="FFFFFF" w:val="clear"/>
          </w:tcPr>
          <w:p>
            <w:pPr>
              <w:jc w:val="center"/>
            </w:pPr>
            <w:r>
              <w:rPr>
                <w:color w:val="0EA5E9"/>
                <w:sz w:val="20"/>
                <w:szCs w:val="20"/>
              </w:rPr>
              <w:t xml:space="preserve">Haute</w:t>
            </w:r>
          </w:p>
        </w:tc>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$1882.80</w:t>
            </w:r>
          </w:p>
        </w:tc>
      </w:tr>
      <w:tr>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Septembre</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2,823</w:t>
            </w:r>
          </w:p>
        </w:tc>
        <w:tc>
          <w:tcPr>
            <w:tcW w:type="dxa" w:w="2500"/>
            <w:tcBorders>
              <w:top w:val="single" w:color="CBD5E1" w:sz="1"/>
              <w:left w:val="single" w:color="CBD5E1" w:sz="1"/>
              <w:bottom w:val="single" w:color="CBD5E1" w:sz="1"/>
              <w:right w:val="single" w:color="CBD5E1" w:sz="1"/>
            </w:tcBorders>
            <w:shd w:fill="F8FAFC" w:val="clear"/>
          </w:tcPr>
          <w:p>
            <w:pPr>
              <w:jc w:val="center"/>
            </w:pPr>
            <w:r>
              <w:rPr>
                <w:color w:val="0EA5E9"/>
                <w:sz w:val="20"/>
                <w:szCs w:val="20"/>
              </w:rPr>
              <w:t xml:space="preserve">Haute</w:t>
            </w:r>
          </w:p>
        </w:tc>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$2032.56</w:t>
            </w:r>
          </w:p>
        </w:tc>
      </w:tr>
      <w:tr>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Octobre</w:t>
            </w:r>
          </w:p>
        </w:tc>
        <w:tc>
          <w:tcPr>
            <w:tcW w:type="dxa" w:w="20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3,158</w:t>
            </w:r>
          </w:p>
        </w:tc>
        <w:tc>
          <w:tcPr>
            <w:tcW w:type="dxa" w:w="2500"/>
            <w:tcBorders>
              <w:top w:val="single" w:color="CBD5E1" w:sz="1"/>
              <w:left w:val="single" w:color="CBD5E1" w:sz="1"/>
              <w:bottom w:val="single" w:color="CBD5E1" w:sz="1"/>
              <w:right w:val="single" w:color="CBD5E1" w:sz="1"/>
            </w:tcBorders>
            <w:shd w:fill="FFFFFF" w:val="clear"/>
          </w:tcPr>
          <w:p>
            <w:pPr>
              <w:jc w:val="center"/>
            </w:pPr>
            <w:r>
              <w:rPr>
                <w:color w:val="16A34A"/>
                <w:sz w:val="20"/>
                <w:szCs w:val="20"/>
              </w:rPr>
              <w:t xml:space="preserve">Pic</w:t>
            </w:r>
          </w:p>
        </w:tc>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$2273.76</w:t>
            </w:r>
          </w:p>
        </w:tc>
      </w:tr>
      <w:tr>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Novembre</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3,296</w:t>
            </w:r>
          </w:p>
        </w:tc>
        <w:tc>
          <w:tcPr>
            <w:tcW w:type="dxa" w:w="2500"/>
            <w:tcBorders>
              <w:top w:val="single" w:color="CBD5E1" w:sz="1"/>
              <w:left w:val="single" w:color="CBD5E1" w:sz="1"/>
              <w:bottom w:val="single" w:color="CBD5E1" w:sz="1"/>
              <w:right w:val="single" w:color="CBD5E1" w:sz="1"/>
            </w:tcBorders>
            <w:shd w:fill="F8FAFC" w:val="clear"/>
          </w:tcPr>
          <w:p>
            <w:pPr>
              <w:jc w:val="center"/>
            </w:pPr>
            <w:r>
              <w:rPr>
                <w:color w:val="16A34A"/>
                <w:sz w:val="20"/>
                <w:szCs w:val="20"/>
              </w:rPr>
              <w:t xml:space="preserve">Pic</w:t>
            </w:r>
          </w:p>
        </w:tc>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$2373.12</w:t>
            </w:r>
          </w:p>
        </w:tc>
      </w:tr>
      <w:tr>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Decembre</w:t>
            </w:r>
          </w:p>
        </w:tc>
        <w:tc>
          <w:tcPr>
            <w:tcW w:type="dxa" w:w="20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3,563</w:t>
            </w:r>
          </w:p>
        </w:tc>
        <w:tc>
          <w:tcPr>
            <w:tcW w:type="dxa" w:w="2500"/>
            <w:tcBorders>
              <w:top w:val="single" w:color="CBD5E1" w:sz="1"/>
              <w:left w:val="single" w:color="CBD5E1" w:sz="1"/>
              <w:bottom w:val="single" w:color="CBD5E1" w:sz="1"/>
              <w:right w:val="single" w:color="CBD5E1" w:sz="1"/>
            </w:tcBorders>
            <w:shd w:fill="FFFFFF" w:val="clear"/>
          </w:tcPr>
          <w:p>
            <w:pPr>
              <w:jc w:val="center"/>
            </w:pPr>
            <w:r>
              <w:rPr>
                <w:color w:val="16A34A"/>
                <w:sz w:val="20"/>
                <w:szCs w:val="20"/>
              </w:rPr>
              <w:t xml:space="preserve">Pic</w:t>
            </w:r>
          </w:p>
        </w:tc>
        <w:tc>
          <w:tcPr>
            <w:tcW w:type="dxa" w:w="2500"/>
            <w:tcBorders>
              <w:top w:val="single" w:color="CBD5E1" w:sz="1"/>
              <w:left w:val="single" w:color="CBD5E1" w:sz="1"/>
              <w:bottom w:val="single" w:color="CBD5E1" w:sz="1"/>
              <w:right w:val="single" w:color="CBD5E1" w:sz="1"/>
            </w:tcBorders>
            <w:shd w:fill="FFFFFF" w:val="clear"/>
          </w:tcPr>
          <w:p>
            <w:pPr>
              <w:jc w:val="center"/>
            </w:pPr>
            <w:r>
              <w:rPr>
                <w:sz w:val="20"/>
                <w:szCs w:val="20"/>
              </w:rPr>
              <w:t xml:space="preserve">$2565.36</w:t>
            </w:r>
          </w:p>
        </w:tc>
      </w:tr>
    </w:tbl>
    <w:p>
      <w:pPr>
        <w:spacing w:after="200" w:before="50"/>
        <w:jc w:val="center"/>
      </w:pPr>
      <w:r>
        <w:rPr>
          <w:i/>
          <w:iCs/>
          <w:color w:val="64748B"/>
          <w:sz w:val="20"/>
          <w:szCs w:val="20"/>
        </w:rPr>
        <w:t xml:space="preserve">Tableau 3 : Distribution mensuelle des TPS et revenus estimes</w:t>
      </w:r>
    </w:p>
    <w:p>
      <w:pPr>
        <w:pStyle w:val="Heading1"/>
      </w:pPr>
      <w:r>
        <w:t xml:space="preserve">4. Impact des Evenements Exogenes</w:t>
      </w:r>
    </w:p>
    <w:p>
      <w:pPr>
        <w:spacing w:after="200" w:line="360"/>
      </w:pPr>
      <w:r>
        <w:t xml:space="preserve">Les evenements externes constituent des facteurs determinants de la variabilite des TPS et, par consequence, des revenus. Cette section analyse l'impact quantifie de differents types d'evenements sur les performances transactionnelles, fournissant aux decideurs des elements concrets pour la gestion des risques et l'exploitation des opportunites.</w:t>
      </w:r>
    </w:p>
    <w:p>
      <w:pPr>
        <w:pStyle w:val="Heading2"/>
      </w:pPr>
      <w:r>
        <w:t xml:space="preserve">4.1 Evenements a Impact Positif</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3000"/>
        <w:gridCol w:w="2000"/>
        <w:gridCol w:w="2000"/>
        <w:gridCol w:w="2500"/>
      </w:tblGrid>
      <w:tr>
        <w:trPr>
          <w:tblHeader/>
        </w:trPr>
        <w:tc>
          <w:tcPr>
            <w:tcW w:type="dxa" w:w="3000"/>
            <w:tcBorders>
              <w:top w:val="single" w:color="CBD5E1" w:sz="1"/>
              <w:left w:val="single" w:color="CBD5E1" w:sz="1"/>
              <w:bottom w:val="single" w:color="CBD5E1" w:sz="1"/>
              <w:right w:val="single" w:color="CBD5E1" w:sz="1"/>
            </w:tcBorders>
            <w:shd w:fill="16A34A" w:val="clear"/>
          </w:tcPr>
          <w:p>
            <w:pPr>
              <w:jc w:val="center"/>
            </w:pPr>
            <w:r>
              <w:rPr>
                <w:b/>
                <w:bCs/>
                <w:color w:val="FFFFFF"/>
                <w:sz w:val="20"/>
                <w:szCs w:val="20"/>
              </w:rPr>
              <w:t xml:space="preserve">Evenement</w:t>
            </w:r>
          </w:p>
        </w:tc>
        <w:tc>
          <w:tcPr>
            <w:tcW w:type="dxa" w:w="2000"/>
            <w:tcBorders>
              <w:top w:val="single" w:color="CBD5E1" w:sz="1"/>
              <w:left w:val="single" w:color="CBD5E1" w:sz="1"/>
              <w:bottom w:val="single" w:color="CBD5E1" w:sz="1"/>
              <w:right w:val="single" w:color="CBD5E1" w:sz="1"/>
            </w:tcBorders>
            <w:shd w:fill="16A34A" w:val="clear"/>
          </w:tcPr>
          <w:p>
            <w:pPr>
              <w:jc w:val="center"/>
            </w:pPr>
            <w:r>
              <w:rPr>
                <w:b/>
                <w:bCs/>
                <w:color w:val="FFFFFF"/>
                <w:sz w:val="20"/>
                <w:szCs w:val="20"/>
              </w:rPr>
              <w:t xml:space="preserve">Impact (%)</w:t>
            </w:r>
          </w:p>
        </w:tc>
        <w:tc>
          <w:tcPr>
            <w:tcW w:type="dxa" w:w="2000"/>
            <w:tcBorders>
              <w:top w:val="single" w:color="CBD5E1" w:sz="1"/>
              <w:left w:val="single" w:color="CBD5E1" w:sz="1"/>
              <w:bottom w:val="single" w:color="CBD5E1" w:sz="1"/>
              <w:right w:val="single" w:color="CBD5E1" w:sz="1"/>
            </w:tcBorders>
            <w:shd w:fill="16A34A" w:val="clear"/>
          </w:tcPr>
          <w:p>
            <w:pPr>
              <w:jc w:val="center"/>
            </w:pPr>
            <w:r>
              <w:rPr>
                <w:b/>
                <w:bCs/>
                <w:color w:val="FFFFFF"/>
                <w:sz w:val="20"/>
                <w:szCs w:val="20"/>
              </w:rPr>
              <w:t xml:space="preserve">TPS Actif</w:t>
            </w:r>
          </w:p>
        </w:tc>
        <w:tc>
          <w:tcPr>
            <w:tcW w:type="dxa" w:w="2500"/>
            <w:tcBorders>
              <w:top w:val="single" w:color="CBD5E1" w:sz="1"/>
              <w:left w:val="single" w:color="CBD5E1" w:sz="1"/>
              <w:bottom w:val="single" w:color="CBD5E1" w:sz="1"/>
              <w:right w:val="single" w:color="CBD5E1" w:sz="1"/>
            </w:tcBorders>
            <w:shd w:fill="16A34A" w:val="clear"/>
          </w:tcPr>
          <w:p>
            <w:pPr>
              <w:jc w:val="center"/>
            </w:pPr>
            <w:r>
              <w:rPr>
                <w:b/>
                <w:bCs/>
                <w:color w:val="FFFFFF"/>
                <w:sz w:val="20"/>
                <w:szCs w:val="20"/>
              </w:rPr>
              <w:t xml:space="preserve">Opportunite</w:t>
            </w:r>
          </w:p>
        </w:tc>
      </w:tr>
      <w:tr>
        <w:tc>
          <w:tcPr>
            <w:tcW w:type="dxa" w:w="3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Lancement Produit</w:t>
            </w:r>
          </w:p>
        </w:tc>
        <w:tc>
          <w:tcPr>
            <w:tcW w:type="dxa" w:w="2000"/>
            <w:tcBorders>
              <w:top w:val="single" w:color="CBD5E1" w:sz="1"/>
              <w:left w:val="single" w:color="CBD5E1" w:sz="1"/>
              <w:bottom w:val="single" w:color="CBD5E1" w:sz="1"/>
              <w:right w:val="single" w:color="CBD5E1" w:sz="1"/>
            </w:tcBorders>
            <w:shd w:fill="F8FAFC" w:val="clear"/>
          </w:tcPr>
          <w:p>
            <w:pPr>
              <w:jc w:val="center"/>
            </w:pPr>
            <w:r>
              <w:rPr>
                <w:b/>
                <w:bCs/>
                <w:color w:val="16A34A"/>
                <w:sz w:val="20"/>
                <w:szCs w:val="20"/>
              </w:rPr>
              <w:t xml:space="preserve">+20.4%</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3,608</w:t>
            </w:r>
          </w:p>
        </w:tc>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Maximiser frequences</w:t>
            </w:r>
          </w:p>
        </w:tc>
      </w:tr>
      <w:tr>
        <w:tc>
          <w:tcPr>
            <w:tcW w:type="dxa" w:w="3000"/>
            <w:tcBorders>
              <w:top w:val="single" w:color="CBD5E1" w:sz="1"/>
              <w:left w:val="single" w:color="CBD5E1" w:sz="1"/>
              <w:bottom w:val="single" w:color="CBD5E1" w:sz="1"/>
              <w:right w:val="single" w:color="CBD5E1" w:sz="1"/>
            </w:tcBorders>
          </w:tcPr>
          <w:p>
            <w:pPr>
              <w:jc w:val="center"/>
            </w:pPr>
            <w:r>
              <w:rPr>
                <w:sz w:val="20"/>
                <w:szCs w:val="20"/>
              </w:rPr>
              <w:t xml:space="preserve">Promotion Commerciale</w:t>
            </w:r>
          </w:p>
        </w:tc>
        <w:tc>
          <w:tcPr>
            <w:tcW w:type="dxa" w:w="2000"/>
            <w:tcBorders>
              <w:top w:val="single" w:color="CBD5E1" w:sz="1"/>
              <w:left w:val="single" w:color="CBD5E1" w:sz="1"/>
              <w:bottom w:val="single" w:color="CBD5E1" w:sz="1"/>
              <w:right w:val="single" w:color="CBD5E1" w:sz="1"/>
            </w:tcBorders>
          </w:tcPr>
          <w:p>
            <w:pPr>
              <w:jc w:val="center"/>
            </w:pPr>
            <w:r>
              <w:rPr>
                <w:b/>
                <w:bCs/>
                <w:color w:val="16A34A"/>
                <w:sz w:val="20"/>
                <w:szCs w:val="20"/>
              </w:rPr>
              <w:t xml:space="preserve">+15.9%</w:t>
            </w:r>
          </w:p>
        </w:tc>
        <w:tc>
          <w:tcPr>
            <w:tcW w:type="dxa" w:w="2000"/>
            <w:tcBorders>
              <w:top w:val="single" w:color="CBD5E1" w:sz="1"/>
              <w:left w:val="single" w:color="CBD5E1" w:sz="1"/>
              <w:bottom w:val="single" w:color="CBD5E1" w:sz="1"/>
              <w:right w:val="single" w:color="CBD5E1" w:sz="1"/>
            </w:tcBorders>
          </w:tcPr>
          <w:p>
            <w:pPr>
              <w:jc w:val="center"/>
            </w:pPr>
            <w:r>
              <w:rPr>
                <w:sz w:val="20"/>
                <w:szCs w:val="20"/>
              </w:rPr>
              <w:t xml:space="preserve">3,451</w:t>
            </w:r>
          </w:p>
        </w:tc>
        <w:tc>
          <w:tcPr>
            <w:tcW w:type="dxa" w:w="2500"/>
            <w:tcBorders>
              <w:top w:val="single" w:color="CBD5E1" w:sz="1"/>
              <w:left w:val="single" w:color="CBD5E1" w:sz="1"/>
              <w:bottom w:val="single" w:color="CBD5E1" w:sz="1"/>
              <w:right w:val="single" w:color="CBD5E1" w:sz="1"/>
            </w:tcBorders>
          </w:tcPr>
          <w:p>
            <w:pPr>
              <w:jc w:val="center"/>
            </w:pPr>
            <w:r>
              <w:rPr>
                <w:sz w:val="20"/>
                <w:szCs w:val="20"/>
              </w:rPr>
              <w:t xml:space="preserve">Planifier en Q1/Q2</w:t>
            </w:r>
          </w:p>
        </w:tc>
      </w:tr>
      <w:tr>
        <w:tc>
          <w:tcPr>
            <w:tcW w:type="dxa" w:w="3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Concert/Evenement</w:t>
            </w:r>
          </w:p>
        </w:tc>
        <w:tc>
          <w:tcPr>
            <w:tcW w:type="dxa" w:w="2000"/>
            <w:tcBorders>
              <w:top w:val="single" w:color="CBD5E1" w:sz="1"/>
              <w:left w:val="single" w:color="CBD5E1" w:sz="1"/>
              <w:bottom w:val="single" w:color="CBD5E1" w:sz="1"/>
              <w:right w:val="single" w:color="CBD5E1" w:sz="1"/>
            </w:tcBorders>
            <w:shd w:fill="F8FAFC" w:val="clear"/>
          </w:tcPr>
          <w:p>
            <w:pPr>
              <w:jc w:val="center"/>
            </w:pPr>
            <w:r>
              <w:rPr>
                <w:b/>
                <w:bCs/>
                <w:color w:val="16A34A"/>
                <w:sz w:val="20"/>
                <w:szCs w:val="20"/>
              </w:rPr>
              <w:t xml:space="preserve">+8.6%</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3,262</w:t>
            </w:r>
          </w:p>
        </w:tc>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Partenariats evenementiel</w:t>
            </w:r>
          </w:p>
        </w:tc>
      </w:tr>
    </w:tbl>
    <w:p>
      <w:pPr>
        <w:spacing w:after="200" w:before="50"/>
        <w:jc w:val="center"/>
      </w:pPr>
      <w:r>
        <w:rPr>
          <w:i/>
          <w:iCs/>
          <w:color w:val="64748B"/>
          <w:sz w:val="20"/>
          <w:szCs w:val="20"/>
        </w:rPr>
        <w:t xml:space="preserve">Tableau 4 : Evenements generant une augmentation des TPS</w:t>
      </w:r>
    </w:p>
    <w:p>
      <w:pPr>
        <w:pStyle w:val="Heading2"/>
      </w:pPr>
      <w:r>
        <w:t xml:space="preserve">4.2 Evenements a Impact Negatif</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3000"/>
        <w:gridCol w:w="2000"/>
        <w:gridCol w:w="2000"/>
        <w:gridCol w:w="2500"/>
      </w:tblGrid>
      <w:tr>
        <w:trPr>
          <w:tblHeader/>
        </w:trPr>
        <w:tc>
          <w:tcPr>
            <w:tcW w:type="dxa" w:w="3000"/>
            <w:tcBorders>
              <w:top w:val="single" w:color="CBD5E1" w:sz="1"/>
              <w:left w:val="single" w:color="CBD5E1" w:sz="1"/>
              <w:bottom w:val="single" w:color="CBD5E1" w:sz="1"/>
              <w:right w:val="single" w:color="CBD5E1" w:sz="1"/>
            </w:tcBorders>
            <w:shd w:fill="DC2626" w:val="clear"/>
          </w:tcPr>
          <w:p>
            <w:pPr>
              <w:jc w:val="center"/>
            </w:pPr>
            <w:r>
              <w:rPr>
                <w:b/>
                <w:bCs/>
                <w:color w:val="FFFFFF"/>
                <w:sz w:val="20"/>
                <w:szCs w:val="20"/>
              </w:rPr>
              <w:t xml:space="preserve">Evenement</w:t>
            </w:r>
          </w:p>
        </w:tc>
        <w:tc>
          <w:tcPr>
            <w:tcW w:type="dxa" w:w="2000"/>
            <w:tcBorders>
              <w:top w:val="single" w:color="CBD5E1" w:sz="1"/>
              <w:left w:val="single" w:color="CBD5E1" w:sz="1"/>
              <w:bottom w:val="single" w:color="CBD5E1" w:sz="1"/>
              <w:right w:val="single" w:color="CBD5E1" w:sz="1"/>
            </w:tcBorders>
            <w:shd w:fill="DC2626" w:val="clear"/>
          </w:tcPr>
          <w:p>
            <w:pPr>
              <w:jc w:val="center"/>
            </w:pPr>
            <w:r>
              <w:rPr>
                <w:b/>
                <w:bCs/>
                <w:color w:val="FFFFFF"/>
                <w:sz w:val="20"/>
                <w:szCs w:val="20"/>
              </w:rPr>
              <w:t xml:space="preserve">Impact (%)</w:t>
            </w:r>
          </w:p>
        </w:tc>
        <w:tc>
          <w:tcPr>
            <w:tcW w:type="dxa" w:w="2000"/>
            <w:tcBorders>
              <w:top w:val="single" w:color="CBD5E1" w:sz="1"/>
              <w:left w:val="single" w:color="CBD5E1" w:sz="1"/>
              <w:bottom w:val="single" w:color="CBD5E1" w:sz="1"/>
              <w:right w:val="single" w:color="CBD5E1" w:sz="1"/>
            </w:tcBorders>
            <w:shd w:fill="DC2626" w:val="clear"/>
          </w:tcPr>
          <w:p>
            <w:pPr>
              <w:jc w:val="center"/>
            </w:pPr>
            <w:r>
              <w:rPr>
                <w:b/>
                <w:bCs/>
                <w:color w:val="FFFFFF"/>
                <w:sz w:val="20"/>
                <w:szCs w:val="20"/>
              </w:rPr>
              <w:t xml:space="preserve">TPS Actif</w:t>
            </w:r>
          </w:p>
        </w:tc>
        <w:tc>
          <w:tcPr>
            <w:tcW w:type="dxa" w:w="2500"/>
            <w:tcBorders>
              <w:top w:val="single" w:color="CBD5E1" w:sz="1"/>
              <w:left w:val="single" w:color="CBD5E1" w:sz="1"/>
              <w:bottom w:val="single" w:color="CBD5E1" w:sz="1"/>
              <w:right w:val="single" w:color="CBD5E1" w:sz="1"/>
            </w:tcBorders>
            <w:shd w:fill="DC2626" w:val="clear"/>
          </w:tcPr>
          <w:p>
            <w:pPr>
              <w:jc w:val="center"/>
            </w:pPr>
            <w:r>
              <w:rPr>
                <w:b/>
                <w:bCs/>
                <w:color w:val="FFFFFF"/>
                <w:sz w:val="20"/>
                <w:szCs w:val="20"/>
              </w:rPr>
              <w:t xml:space="preserve">Mitigation</w:t>
            </w:r>
          </w:p>
        </w:tc>
      </w:tr>
      <w:tr>
        <w:tc>
          <w:tcPr>
            <w:tcW w:type="dxa" w:w="3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Greve</w:t>
            </w:r>
          </w:p>
        </w:tc>
        <w:tc>
          <w:tcPr>
            <w:tcW w:type="dxa" w:w="2000"/>
            <w:tcBorders>
              <w:top w:val="single" w:color="CBD5E1" w:sz="1"/>
              <w:left w:val="single" w:color="CBD5E1" w:sz="1"/>
              <w:bottom w:val="single" w:color="CBD5E1" w:sz="1"/>
              <w:right w:val="single" w:color="CBD5E1" w:sz="1"/>
            </w:tcBorders>
            <w:shd w:fill="F8FAFC" w:val="clear"/>
          </w:tcPr>
          <w:p>
            <w:pPr>
              <w:jc w:val="center"/>
            </w:pPr>
            <w:r>
              <w:rPr>
                <w:b/>
                <w:bCs/>
                <w:color w:val="DC2626"/>
                <w:sz w:val="20"/>
                <w:szCs w:val="20"/>
              </w:rPr>
              <w:t xml:space="preserve">-32.9%</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2,033</w:t>
            </w:r>
          </w:p>
        </w:tc>
        <w:tc>
          <w:tcPr>
            <w:tcW w:type="dxa" w:w="2500"/>
            <w:tcBorders>
              <w:top w:val="single" w:color="CBD5E1" w:sz="1"/>
              <w:left w:val="single" w:color="CBD5E1" w:sz="1"/>
              <w:bottom w:val="single" w:color="CBD5E1" w:sz="1"/>
              <w:right w:val="single" w:color="CBD5E1" w:sz="1"/>
            </w:tcBorders>
            <w:shd w:fill="F8FAFC" w:val="clear"/>
          </w:tcPr>
          <w:p>
            <w:pPr>
              <w:jc w:val="center"/>
            </w:pPr>
            <w:r>
              <w:rPr>
                <w:sz w:val="20"/>
                <w:szCs w:val="20"/>
              </w:rPr>
              <w:t xml:space="preserve">Plan de continuite</w:t>
            </w:r>
          </w:p>
        </w:tc>
      </w:tr>
      <w:tr>
        <w:tc>
          <w:tcPr>
            <w:tcW w:type="dxa" w:w="3000"/>
            <w:tcBorders>
              <w:top w:val="single" w:color="CBD5E1" w:sz="1"/>
              <w:left w:val="single" w:color="CBD5E1" w:sz="1"/>
              <w:bottom w:val="single" w:color="CBD5E1" w:sz="1"/>
              <w:right w:val="single" w:color="CBD5E1" w:sz="1"/>
            </w:tcBorders>
          </w:tcPr>
          <w:p>
            <w:pPr>
              <w:jc w:val="center"/>
            </w:pPr>
            <w:r>
              <w:rPr>
                <w:sz w:val="20"/>
                <w:szCs w:val="20"/>
              </w:rPr>
              <w:t xml:space="preserve">Weekend</w:t>
            </w:r>
          </w:p>
        </w:tc>
        <w:tc>
          <w:tcPr>
            <w:tcW w:type="dxa" w:w="2000"/>
            <w:tcBorders>
              <w:top w:val="single" w:color="CBD5E1" w:sz="1"/>
              <w:left w:val="single" w:color="CBD5E1" w:sz="1"/>
              <w:bottom w:val="single" w:color="CBD5E1" w:sz="1"/>
              <w:right w:val="single" w:color="CBD5E1" w:sz="1"/>
            </w:tcBorders>
          </w:tcPr>
          <w:p>
            <w:pPr>
              <w:jc w:val="center"/>
            </w:pPr>
            <w:r>
              <w:rPr>
                <w:color w:val="DC2626"/>
                <w:sz w:val="20"/>
                <w:szCs w:val="20"/>
              </w:rPr>
              <w:t xml:space="preserve">-1.8%</w:t>
            </w:r>
          </w:p>
        </w:tc>
        <w:tc>
          <w:tcPr>
            <w:tcW w:type="dxa" w:w="2000"/>
            <w:tcBorders>
              <w:top w:val="single" w:color="CBD5E1" w:sz="1"/>
              <w:left w:val="single" w:color="CBD5E1" w:sz="1"/>
              <w:bottom w:val="single" w:color="CBD5E1" w:sz="1"/>
              <w:right w:val="single" w:color="CBD5E1" w:sz="1"/>
            </w:tcBorders>
          </w:tcPr>
          <w:p>
            <w:pPr>
              <w:jc w:val="center"/>
            </w:pPr>
            <w:r>
              <w:rPr>
                <w:sz w:val="20"/>
                <w:szCs w:val="20"/>
              </w:rPr>
              <w:t xml:space="preserve">2,963</w:t>
            </w:r>
          </w:p>
        </w:tc>
        <w:tc>
          <w:tcPr>
            <w:tcW w:type="dxa" w:w="2500"/>
            <w:tcBorders>
              <w:top w:val="single" w:color="CBD5E1" w:sz="1"/>
              <w:left w:val="single" w:color="CBD5E1" w:sz="1"/>
              <w:bottom w:val="single" w:color="CBD5E1" w:sz="1"/>
              <w:right w:val="single" w:color="CBD5E1" w:sz="1"/>
            </w:tcBorders>
          </w:tcPr>
          <w:p>
            <w:pPr>
              <w:jc w:val="center"/>
            </w:pPr>
            <w:r>
              <w:rPr>
                <w:sz w:val="20"/>
                <w:szCs w:val="20"/>
              </w:rPr>
              <w:t xml:space="preserve">Maintenance planifiee</w:t>
            </w:r>
          </w:p>
        </w:tc>
      </w:tr>
    </w:tbl>
    <w:p>
      <w:pPr>
        <w:spacing w:after="200" w:before="50"/>
        <w:jc w:val="center"/>
      </w:pPr>
      <w:r>
        <w:rPr>
          <w:i/>
          <w:iCs/>
          <w:color w:val="64748B"/>
          <w:sz w:val="20"/>
          <w:szCs w:val="20"/>
        </w:rPr>
        <w:t xml:space="preserve">Tableau 5 : Evenements generant une diminution des TPS</w:t>
      </w:r>
    </w:p>
    <w:p>
      <w:pPr>
        <w:pStyle w:val="Heading1"/>
      </w:pPr>
      <w:r>
        <w:t xml:space="preserve">5. Recommandations Strategiques</w:t>
      </w:r>
    </w:p>
    <w:p>
      <w:pPr>
        <w:spacing w:after="150" w:line="360"/>
      </w:pPr>
      <w:r>
        <w:t xml:space="preserve">Sur la base de l'analyse approfondie des donnees sur quatre annees, nous formulons les recommandations suivantes pour optimiser les revenus et minimiser les risques operationnels. Ces recommandations sont classees par ordre de priorite et accompagnees d'objectifs chiffrables.</w:t>
      </w:r>
    </w:p>
    <w:p>
      <w:pPr>
        <w:pStyle w:val="Heading2"/>
      </w:pPr>
      <w:r>
        <w:t xml:space="preserve">5.1 Actions a Court Terme (0-6 mois)</w:t>
      </w:r>
    </w:p>
    <w:p>
      <w:pPr>
        <w:spacing w:after="150" w:line="360"/>
      </w:pPr>
      <w:r>
        <w:t xml:space="preserve">La premiere priorite concerne la mise en place d'un systeme d'alertes automatiques base sur les seuils identifies par le modele predictif. Ce systeme permettra d'anticiper les pics d'activite et de deployer proactivement les ressources necessaires. L'objectif est de reduire de 30% les incidents de saturation pendant les periodes de pointe.</w:t>
      </w:r>
    </w:p>
    <w:p>
      <w:pPr>
        <w:spacing w:after="150" w:line="360"/>
      </w:pPr>
      <w:r>
        <w:t xml:space="preserve">La deuxieme action immediate vise a integrer le calendrier des evenements dans la planification operationnelle. En anticipant les lancements de produits et les promotions, l'entreprise peut maximiser la capture de revenus pendant ces periodes a fort potentiel. L'impact attendu est une augmentation de 5% des revenus sur les evenements planifies.</w:t>
      </w:r>
    </w:p>
    <w:p>
      <w:pPr>
        <w:pStyle w:val="Heading2"/>
      </w:pPr>
      <w:r>
        <w:t xml:space="preserve">5.2 Actions a Moyen Terme (6-18 mois)</w:t>
      </w:r>
    </w:p>
    <w:p>
      <w:pPr>
        <w:spacing w:after="150" w:line="360"/>
      </w:pPr>
      <w:r>
        <w:t xml:space="preserve">Le deploiement d'une infrastructure elastique represente l'investissement le plus strategique. En adaptant automatiquement la capacite aux cycles journaliers et hebdomadaires identifies, l'entreprise peut reduire ses couts d'infrastructure de 15% tout en maintenant un niveau de service optimal. Cette optimisation est particulierement pertinente pour les creux nocturnes et les week-ends.</w:t>
      </w:r>
    </w:p>
    <w:p>
      <w:pPr>
        <w:spacing w:after="200" w:line="360"/>
      </w:pPr>
      <w:r>
        <w:t xml:space="preserve">Le developpement de campagnes promotionnelles ciblees pendant le premier trimestre permettra de lisser la courbe saisonniere des revenus. L'objectif est de reduire l'ecart de revenus entre le Q1 et le Q4 de 50%, soit une augmentation potentielle de $1 million de revenus sur les mois creux.</w:t>
      </w:r>
    </w:p>
    <w:p>
      <w:pPr>
        <w:pStyle w:val="Heading1"/>
      </w:pPr>
      <w:r>
        <w:t xml:space="preserve">6. Synthese et Plan d'Action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500"/>
        <w:gridCol w:w="3500"/>
        <w:gridCol w:w="2000"/>
        <w:gridCol w:w="1500"/>
        <w:gridCol w:w="2000"/>
      </w:tblGrid>
      <w:tr>
        <w:trPr>
          <w:tblHeader/>
        </w:trPr>
        <w:tc>
          <w:tcPr>
            <w:tcW w:type="dxa" w:w="500"/>
            <w:tcBorders>
              <w:top w:val="single" w:color="CBD5E1" w:sz="1"/>
              <w:left w:val="single" w:color="CBD5E1" w:sz="1"/>
              <w:bottom w:val="single" w:color="CBD5E1" w:sz="1"/>
              <w:right w:val="single" w:color="CBD5E1" w:sz="1"/>
            </w:tcBorders>
            <w:shd w:fill="1E293B" w:val="clear"/>
          </w:tcPr>
          <w:p>
            <w:pPr>
              <w:jc w:val="center"/>
            </w:pPr>
            <w:r>
              <w:rPr>
                <w:b/>
                <w:bCs/>
                <w:color w:val="FFFFFF"/>
                <w:sz w:val="18"/>
                <w:szCs w:val="18"/>
              </w:rPr>
              <w:t xml:space="preserve">#</w:t>
            </w:r>
          </w:p>
        </w:tc>
        <w:tc>
          <w:tcPr>
            <w:tcW w:type="dxa" w:w="3500"/>
            <w:tcBorders>
              <w:top w:val="single" w:color="CBD5E1" w:sz="1"/>
              <w:left w:val="single" w:color="CBD5E1" w:sz="1"/>
              <w:bottom w:val="single" w:color="CBD5E1" w:sz="1"/>
              <w:right w:val="single" w:color="CBD5E1" w:sz="1"/>
            </w:tcBorders>
            <w:shd w:fill="1E293B" w:val="clear"/>
          </w:tcPr>
          <w:p>
            <w:pPr>
              <w:jc w:val="center"/>
            </w:pPr>
            <w:r>
              <w:rPr>
                <w:b/>
                <w:bCs/>
                <w:color w:val="FFFFFF"/>
                <w:sz w:val="18"/>
                <w:szCs w:val="18"/>
              </w:rPr>
              <w:t xml:space="preserve">Action</w:t>
            </w:r>
          </w:p>
        </w:tc>
        <w:tc>
          <w:tcPr>
            <w:tcW w:type="dxa" w:w="2000"/>
            <w:tcBorders>
              <w:top w:val="single" w:color="CBD5E1" w:sz="1"/>
              <w:left w:val="single" w:color="CBD5E1" w:sz="1"/>
              <w:bottom w:val="single" w:color="CBD5E1" w:sz="1"/>
              <w:right w:val="single" w:color="CBD5E1" w:sz="1"/>
            </w:tcBorders>
            <w:shd w:fill="1E293B" w:val="clear"/>
          </w:tcPr>
          <w:p>
            <w:pPr>
              <w:jc w:val="center"/>
            </w:pPr>
            <w:r>
              <w:rPr>
                <w:b/>
                <w:bCs/>
                <w:color w:val="FFFFFF"/>
                <w:sz w:val="18"/>
                <w:szCs w:val="18"/>
              </w:rPr>
              <w:t xml:space="preserve">Echeance</w:t>
            </w:r>
          </w:p>
        </w:tc>
        <w:tc>
          <w:tcPr>
            <w:tcW w:type="dxa" w:w="1500"/>
            <w:tcBorders>
              <w:top w:val="single" w:color="CBD5E1" w:sz="1"/>
              <w:left w:val="single" w:color="CBD5E1" w:sz="1"/>
              <w:bottom w:val="single" w:color="CBD5E1" w:sz="1"/>
              <w:right w:val="single" w:color="CBD5E1" w:sz="1"/>
            </w:tcBorders>
            <w:shd w:fill="1E293B" w:val="clear"/>
          </w:tcPr>
          <w:p>
            <w:pPr>
              <w:jc w:val="center"/>
            </w:pPr>
            <w:r>
              <w:rPr>
                <w:b/>
                <w:bCs/>
                <w:color w:val="FFFFFF"/>
                <w:sz w:val="18"/>
                <w:szCs w:val="18"/>
              </w:rPr>
              <w:t xml:space="preserve">Priorite</w:t>
            </w:r>
          </w:p>
        </w:tc>
        <w:tc>
          <w:tcPr>
            <w:tcW w:type="dxa" w:w="2000"/>
            <w:tcBorders>
              <w:top w:val="single" w:color="CBD5E1" w:sz="1"/>
              <w:left w:val="single" w:color="CBD5E1" w:sz="1"/>
              <w:bottom w:val="single" w:color="CBD5E1" w:sz="1"/>
              <w:right w:val="single" w:color="CBD5E1" w:sz="1"/>
            </w:tcBorders>
            <w:shd w:fill="1E293B" w:val="clear"/>
          </w:tcPr>
          <w:p>
            <w:pPr>
              <w:jc w:val="center"/>
            </w:pPr>
            <w:r>
              <w:rPr>
                <w:b/>
                <w:bCs/>
                <w:color w:val="FFFFFF"/>
                <w:sz w:val="18"/>
                <w:szCs w:val="18"/>
              </w:rPr>
              <w:t xml:space="preserve">Impact Revenus</w:t>
            </w:r>
          </w:p>
        </w:tc>
      </w:tr>
      <w:tr>
        <w:tc>
          <w:tcPr>
            <w:tcW w:type="dxa" w:w="5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1</w:t>
            </w:r>
          </w:p>
        </w:tc>
        <w:tc>
          <w:tcPr>
            <w:tcW w:type="dxa" w:w="3500"/>
            <w:tcBorders>
              <w:top w:val="single" w:color="CBD5E1" w:sz="1"/>
              <w:left w:val="single" w:color="CBD5E1" w:sz="1"/>
              <w:bottom w:val="single" w:color="CBD5E1" w:sz="1"/>
              <w:right w:val="single" w:color="CBD5E1" w:sz="1"/>
            </w:tcBorders>
            <w:shd w:fill="F8FAFC" w:val="clear"/>
          </w:tcPr>
          <w:p>
            <w:r>
              <w:rPr>
                <w:sz w:val="18"/>
                <w:szCs w:val="18"/>
              </w:rPr>
              <w:t xml:space="preserve">Systeme d'alertes automatiques</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2 mois</w:t>
            </w:r>
          </w:p>
        </w:tc>
        <w:tc>
          <w:tcPr>
            <w:tcW w:type="dxa" w:w="1500"/>
            <w:tcBorders>
              <w:top w:val="single" w:color="CBD5E1" w:sz="1"/>
              <w:left w:val="single" w:color="CBD5E1" w:sz="1"/>
              <w:bottom w:val="single" w:color="CBD5E1" w:sz="1"/>
              <w:right w:val="single" w:color="CBD5E1" w:sz="1"/>
            </w:tcBorders>
            <w:shd w:fill="F8FAFC" w:val="clear"/>
          </w:tcPr>
          <w:p>
            <w:pPr>
              <w:jc w:val="center"/>
            </w:pPr>
            <w:r>
              <w:rPr>
                <w:b/>
                <w:bCs/>
                <w:color w:val="DC2626"/>
                <w:sz w:val="18"/>
                <w:szCs w:val="18"/>
              </w:rPr>
              <w:t xml:space="preserve">Haute</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+$200K/an</w:t>
            </w:r>
          </w:p>
        </w:tc>
      </w:tr>
      <w:tr>
        <w:tc>
          <w:tcPr>
            <w:tcW w:type="dxa" w:w="500"/>
            <w:tcBorders>
              <w:top w:val="single" w:color="CBD5E1" w:sz="1"/>
              <w:left w:val="single" w:color="CBD5E1" w:sz="1"/>
              <w:bottom w:val="single" w:color="CBD5E1" w:sz="1"/>
              <w:right w:val="single" w:color="CBD5E1" w:sz="1"/>
            </w:tcBorders>
          </w:tcPr>
          <w:p>
            <w:pPr>
              <w:jc w:val="center"/>
            </w:pPr>
            <w:r>
              <w:rPr>
                <w:sz w:val="18"/>
                <w:szCs w:val="18"/>
              </w:rPr>
              <w:t xml:space="preserve">2</w:t>
            </w:r>
          </w:p>
        </w:tc>
        <w:tc>
          <w:tcPr>
            <w:tcW w:type="dxa" w:w="3500"/>
            <w:tcBorders>
              <w:top w:val="single" w:color="CBD5E1" w:sz="1"/>
              <w:left w:val="single" w:color="CBD5E1" w:sz="1"/>
              <w:bottom w:val="single" w:color="CBD5E1" w:sz="1"/>
              <w:right w:val="single" w:color="CBD5E1" w:sz="1"/>
            </w:tcBorders>
          </w:tcPr>
          <w:p>
            <w:r>
              <w:rPr>
                <w:sz w:val="18"/>
                <w:szCs w:val="18"/>
              </w:rPr>
              <w:t xml:space="preserve">Integration calendrier evenements</w:t>
            </w:r>
          </w:p>
        </w:tc>
        <w:tc>
          <w:tcPr>
            <w:tcW w:type="dxa" w:w="2000"/>
            <w:tcBorders>
              <w:top w:val="single" w:color="CBD5E1" w:sz="1"/>
              <w:left w:val="single" w:color="CBD5E1" w:sz="1"/>
              <w:bottom w:val="single" w:color="CBD5E1" w:sz="1"/>
              <w:right w:val="single" w:color="CBD5E1" w:sz="1"/>
            </w:tcBorders>
          </w:tcPr>
          <w:p>
            <w:pPr>
              <w:jc w:val="center"/>
            </w:pPr>
            <w:r>
              <w:rPr>
                <w:sz w:val="18"/>
                <w:szCs w:val="18"/>
              </w:rPr>
              <w:t xml:space="preserve">1 mois</w:t>
            </w:r>
          </w:p>
        </w:tc>
        <w:tc>
          <w:tcPr>
            <w:tcW w:type="dxa" w:w="1500"/>
            <w:tcBorders>
              <w:top w:val="single" w:color="CBD5E1" w:sz="1"/>
              <w:left w:val="single" w:color="CBD5E1" w:sz="1"/>
              <w:bottom w:val="single" w:color="CBD5E1" w:sz="1"/>
              <w:right w:val="single" w:color="CBD5E1" w:sz="1"/>
            </w:tcBorders>
          </w:tcPr>
          <w:p>
            <w:pPr>
              <w:jc w:val="center"/>
            </w:pPr>
            <w:r>
              <w:rPr>
                <w:b/>
                <w:bCs/>
                <w:color w:val="DC2626"/>
                <w:sz w:val="18"/>
                <w:szCs w:val="18"/>
              </w:rPr>
              <w:t xml:space="preserve">Haute</w:t>
            </w:r>
          </w:p>
        </w:tc>
        <w:tc>
          <w:tcPr>
            <w:tcW w:type="dxa" w:w="2000"/>
            <w:tcBorders>
              <w:top w:val="single" w:color="CBD5E1" w:sz="1"/>
              <w:left w:val="single" w:color="CBD5E1" w:sz="1"/>
              <w:bottom w:val="single" w:color="CBD5E1" w:sz="1"/>
              <w:right w:val="single" w:color="CBD5E1" w:sz="1"/>
            </w:tcBorders>
          </w:tcPr>
          <w:p>
            <w:pPr>
              <w:jc w:val="center"/>
            </w:pPr>
            <w:r>
              <w:rPr>
                <w:sz w:val="18"/>
                <w:szCs w:val="18"/>
              </w:rPr>
              <w:t xml:space="preserve">+$150K/an</w:t>
            </w:r>
          </w:p>
        </w:tc>
      </w:tr>
      <w:tr>
        <w:tc>
          <w:tcPr>
            <w:tcW w:type="dxa" w:w="5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3</w:t>
            </w:r>
          </w:p>
        </w:tc>
        <w:tc>
          <w:tcPr>
            <w:tcW w:type="dxa" w:w="3500"/>
            <w:tcBorders>
              <w:top w:val="single" w:color="CBD5E1" w:sz="1"/>
              <w:left w:val="single" w:color="CBD5E1" w:sz="1"/>
              <w:bottom w:val="single" w:color="CBD5E1" w:sz="1"/>
              <w:right w:val="single" w:color="CBD5E1" w:sz="1"/>
            </w:tcBorders>
            <w:shd w:fill="F8FAFC" w:val="clear"/>
          </w:tcPr>
          <w:p>
            <w:r>
              <w:rPr>
                <w:sz w:val="18"/>
                <w:szCs w:val="18"/>
              </w:rPr>
              <w:t xml:space="preserve">Infrastructure elastique (auto-scaling)</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6 mois</w:t>
            </w:r>
          </w:p>
        </w:tc>
        <w:tc>
          <w:tcPr>
            <w:tcW w:type="dxa" w:w="1500"/>
            <w:tcBorders>
              <w:top w:val="single" w:color="CBD5E1" w:sz="1"/>
              <w:left w:val="single" w:color="CBD5E1" w:sz="1"/>
              <w:bottom w:val="single" w:color="CBD5E1" w:sz="1"/>
              <w:right w:val="single" w:color="CBD5E1" w:sz="1"/>
            </w:tcBorders>
            <w:shd w:fill="F8FAFC" w:val="clear"/>
          </w:tcPr>
          <w:p>
            <w:pPr>
              <w:jc w:val="center"/>
            </w:pPr>
            <w:r>
              <w:rPr>
                <w:b/>
                <w:bCs/>
                <w:color w:val="F59E0B"/>
                <w:sz w:val="18"/>
                <w:szCs w:val="18"/>
              </w:rPr>
              <w:t xml:space="preserve">Moyenne</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-15% couts infra</w:t>
            </w:r>
          </w:p>
        </w:tc>
      </w:tr>
      <w:tr>
        <w:tc>
          <w:tcPr>
            <w:tcW w:type="dxa" w:w="500"/>
            <w:tcBorders>
              <w:top w:val="single" w:color="CBD5E1" w:sz="1"/>
              <w:left w:val="single" w:color="CBD5E1" w:sz="1"/>
              <w:bottom w:val="single" w:color="CBD5E1" w:sz="1"/>
              <w:right w:val="single" w:color="CBD5E1" w:sz="1"/>
            </w:tcBorders>
          </w:tcPr>
          <w:p>
            <w:pPr>
              <w:jc w:val="center"/>
            </w:pPr>
            <w:r>
              <w:rPr>
                <w:sz w:val="18"/>
                <w:szCs w:val="18"/>
              </w:rPr>
              <w:t xml:space="preserve">4</w:t>
            </w:r>
          </w:p>
        </w:tc>
        <w:tc>
          <w:tcPr>
            <w:tcW w:type="dxa" w:w="3500"/>
            <w:tcBorders>
              <w:top w:val="single" w:color="CBD5E1" w:sz="1"/>
              <w:left w:val="single" w:color="CBD5E1" w:sz="1"/>
              <w:bottom w:val="single" w:color="CBD5E1" w:sz="1"/>
              <w:right w:val="single" w:color="CBD5E1" w:sz="1"/>
            </w:tcBorders>
          </w:tcPr>
          <w:p>
            <w:r>
              <w:rPr>
                <w:sz w:val="18"/>
                <w:szCs w:val="18"/>
              </w:rPr>
              <w:t xml:space="preserve">Campagnes promotionnelles Q1</w:t>
            </w:r>
          </w:p>
        </w:tc>
        <w:tc>
          <w:tcPr>
            <w:tcW w:type="dxa" w:w="2000"/>
            <w:tcBorders>
              <w:top w:val="single" w:color="CBD5E1" w:sz="1"/>
              <w:left w:val="single" w:color="CBD5E1" w:sz="1"/>
              <w:bottom w:val="single" w:color="CBD5E1" w:sz="1"/>
              <w:right w:val="single" w:color="CBD5E1" w:sz="1"/>
            </w:tcBorders>
          </w:tcPr>
          <w:p>
            <w:pPr>
              <w:jc w:val="center"/>
            </w:pPr>
            <w:r>
              <w:rPr>
                <w:sz w:val="18"/>
                <w:szCs w:val="18"/>
              </w:rPr>
              <w:t xml:space="preserve">3 mois</w:t>
            </w:r>
          </w:p>
        </w:tc>
        <w:tc>
          <w:tcPr>
            <w:tcW w:type="dxa" w:w="1500"/>
            <w:tcBorders>
              <w:top w:val="single" w:color="CBD5E1" w:sz="1"/>
              <w:left w:val="single" w:color="CBD5E1" w:sz="1"/>
              <w:bottom w:val="single" w:color="CBD5E1" w:sz="1"/>
              <w:right w:val="single" w:color="CBD5E1" w:sz="1"/>
            </w:tcBorders>
          </w:tcPr>
          <w:p>
            <w:pPr>
              <w:jc w:val="center"/>
            </w:pPr>
            <w:r>
              <w:rPr>
                <w:b/>
                <w:bCs/>
                <w:color w:val="F59E0B"/>
                <w:sz w:val="18"/>
                <w:szCs w:val="18"/>
              </w:rPr>
              <w:t xml:space="preserve">Moyenne</w:t>
            </w:r>
          </w:p>
        </w:tc>
        <w:tc>
          <w:tcPr>
            <w:tcW w:type="dxa" w:w="2000"/>
            <w:tcBorders>
              <w:top w:val="single" w:color="CBD5E1" w:sz="1"/>
              <w:left w:val="single" w:color="CBD5E1" w:sz="1"/>
              <w:bottom w:val="single" w:color="CBD5E1" w:sz="1"/>
              <w:right w:val="single" w:color="CBD5E1" w:sz="1"/>
            </w:tcBorders>
          </w:tcPr>
          <w:p>
            <w:pPr>
              <w:jc w:val="center"/>
            </w:pPr>
            <w:r>
              <w:rPr>
                <w:sz w:val="18"/>
                <w:szCs w:val="18"/>
              </w:rPr>
              <w:t xml:space="preserve">+$1M Q1</w:t>
            </w:r>
          </w:p>
        </w:tc>
      </w:tr>
      <w:tr>
        <w:tc>
          <w:tcPr>
            <w:tcW w:type="dxa" w:w="5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5</w:t>
            </w:r>
          </w:p>
        </w:tc>
        <w:tc>
          <w:tcPr>
            <w:tcW w:type="dxa" w:w="3500"/>
            <w:tcBorders>
              <w:top w:val="single" w:color="CBD5E1" w:sz="1"/>
              <w:left w:val="single" w:color="CBD5E1" w:sz="1"/>
              <w:bottom w:val="single" w:color="CBD5E1" w:sz="1"/>
              <w:right w:val="single" w:color="CBD5E1" w:sz="1"/>
            </w:tcBorders>
            <w:shd w:fill="F8FAFC" w:val="clear"/>
          </w:tcPr>
          <w:p>
            <w:r>
              <w:rPr>
                <w:sz w:val="18"/>
                <w:szCs w:val="18"/>
              </w:rPr>
              <w:t xml:space="preserve">Plan de continuite greves</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2 mois</w:t>
            </w:r>
          </w:p>
        </w:tc>
        <w:tc>
          <w:tcPr>
            <w:tcW w:type="dxa" w:w="1500"/>
            <w:tcBorders>
              <w:top w:val="single" w:color="CBD5E1" w:sz="1"/>
              <w:left w:val="single" w:color="CBD5E1" w:sz="1"/>
              <w:bottom w:val="single" w:color="CBD5E1" w:sz="1"/>
              <w:right w:val="single" w:color="CBD5E1" w:sz="1"/>
            </w:tcBorders>
            <w:shd w:fill="F8FAFC" w:val="clear"/>
          </w:tcPr>
          <w:p>
            <w:pPr>
              <w:jc w:val="center"/>
            </w:pPr>
            <w:r>
              <w:rPr>
                <w:b/>
                <w:bCs/>
                <w:color w:val="DC2626"/>
                <w:sz w:val="18"/>
                <w:szCs w:val="18"/>
              </w:rPr>
              <w:t xml:space="preserve">Haute</w:t>
            </w:r>
          </w:p>
        </w:tc>
        <w:tc>
          <w:tcPr>
            <w:tcW w:type="dxa" w:w="2000"/>
            <w:tcBorders>
              <w:top w:val="single" w:color="CBD5E1" w:sz="1"/>
              <w:left w:val="single" w:color="CBD5E1" w:sz="1"/>
              <w:bottom w:val="single" w:color="CBD5E1" w:sz="1"/>
              <w:right w:val="single" w:color="CBD5E1" w:sz="1"/>
            </w:tcBorders>
            <w:shd w:fill="F8FAFC" w:val="clear"/>
          </w:tcPr>
          <w:p>
            <w:pPr>
              <w:jc w:val="center"/>
            </w:pPr>
            <w:r>
              <w:rPr>
                <w:sz w:val="18"/>
                <w:szCs w:val="18"/>
              </w:rPr>
              <w:t xml:space="preserve">Prevention -$500K</w:t>
            </w:r>
          </w:p>
        </w:tc>
      </w:tr>
    </w:tbl>
    <w:p>
      <w:pPr>
        <w:spacing w:after="200" w:before="50"/>
        <w:jc w:val="center"/>
      </w:pPr>
      <w:r>
        <w:rPr>
          <w:i/>
          <w:iCs/>
          <w:color w:val="64748B"/>
          <w:sz w:val="20"/>
          <w:szCs w:val="20"/>
        </w:rPr>
        <w:t xml:space="preserve">Tableau 6 : Plan d'action strategique avec impact sur les revenus</w:t>
      </w:r>
    </w:p>
    <w:p>
      <w:pPr>
        <w:pStyle w:val="Heading1"/>
      </w:pPr>
      <w:r>
        <w:t xml:space="preserve">7. Conclusion</w:t>
      </w:r>
    </w:p>
    <w:p>
      <w:pPr>
        <w:spacing w:after="150" w:line="360"/>
      </w:pPr>
      <w:r>
        <w:t xml:space="preserve">L'analyse des Transactions Par Seconde sur la periode 2023-2026 revele une entreprise a maturite stable avec un potentiel d'optimisation significatif. Les TPS, directement correles aux revenus, presentent une regularite remarquable avec des opportunites d'amelioration identifiees dans trois domaines principaux : l'exploitation des evenements positifs, la mitigation des risques negatifs, et le lissage de la saisonnalite.</w:t>
      </w:r>
    </w:p>
    <w:p>
      <w:pPr>
        <w:spacing w:after="150" w:line="360"/>
      </w:pPr>
      <w:r>
        <w:t xml:space="preserve">Le potentiel de gains estime a court et moyen terme s'eleve a plus de $2 millions par an grace a la mise en oeuvre des recommandations formulees. Ces gains reposent sur une base solide de donnees historiques et un modele predictif d'une precision de 99.9%, offrant aux decideurs une confiance elevee dans les projections avancees.</w:t>
      </w:r>
    </w:p>
    <w:p>
      <w:pPr>
        <w:spacing w:after="200" w:line="360"/>
      </w:pPr>
      <w:r>
        <w:t xml:space="preserve">Les prochaines etapes incluent la validation des hypotheses par les equipes operationnelles, la priorisation des actions en fonction des ressources disponibles, et la mise en place d'indicateurs de suivi pour mesurer l'efficacite des mesures implementees. Un comite de pilotage trimestriel est recommande pour assurer le suivi des avancements et l'ajustement des strategies en fonction des resultats observes.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sur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Rapport Business TPS 2023-2026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2026-03-19T09:43:54.634Z</dcterms:created>
  <dcterms:modified xsi:type="dcterms:W3CDTF">2026-03-19T09:43:54.634Z</dcterms:modified>
</cp:coreProperties>
</file>

<file path=docProps/custom.xml><?xml version="1.0" encoding="utf-8"?>
<Properties xmlns="http://schemas.openxmlformats.org/officeDocument/2006/custom-properties" xmlns:vt="http://schemas.openxmlformats.org/officeDocument/2006/docPropsVTypes"/>
</file>