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Arial" w:cs="Arial" w:eastAsia="Arial" w:hAnsi="Arial"/>
          <w:b w:val="false"/>
          <w:bCs w:val="false"/>
          <w:i w:val="false"/>
          <w:iCs w:val="false"/>
          <w:color w:val="888888"/>
          <w:sz w:val="16"/>
          <w:szCs w:val="16"/>
        </w:rPr>
        <w:t xml:space="preserve">AccuKnox -- Product Design Exercise</w:t>
      </w:r>
    </w:p>
    <w:p>
      <w:pPr>
        <w:spacing w:after="60"/>
      </w:pPr>
      <w:r>
        <w:rPr>
          <w:rFonts w:ascii="Arial" w:cs="Arial" w:eastAsia="Arial" w:hAnsi="Arial"/>
          <w:b/>
          <w:bCs/>
          <w:i w:val="false"/>
          <w:iCs w:val="false"/>
          <w:color w:val="111111"/>
          <w:sz w:val="44"/>
          <w:szCs w:val="44"/>
        </w:rPr>
        <w:t xml:space="preserve">Cloud Posture Dashboard</w:t>
      </w:r>
    </w:p>
    <w:p>
      <w:pPr>
        <w:spacing w:after="10" w:before="0"/>
        <w:jc w:val="left"/>
      </w:pPr>
      <w:r>
        <w:rPr>
          <w:rFonts w:ascii="Arial" w:cs="Arial" w:eastAsia="Arial" w:hAnsi="Arial"/>
          <w:b w:val="false"/>
          <w:bCs w:val="false"/>
          <w:i/>
          <w:iCs/>
          <w:color w:val="555555"/>
          <w:sz w:val="18"/>
          <w:szCs w:val="18"/>
        </w:rPr>
        <w:t xml:space="preserve">Design Write-Up | Problem Statement | User Persona | Prioritisation | Success Metrics</w:t>
      </w:r>
    </w:p>
    <w:p>
      <w:pPr>
        <w:pBdr>
          <w:bottom w:val="single" w:color="333333" w:sz="4" w:space="1"/>
        </w:pBdr>
        <w:spacing w:after="140"/>
      </w:pPr>
      <w:r>
        <w:rPr>
          <w:rFonts w:ascii="Arial" w:cs="Arial" w:eastAsia="Arial" w:hAnsi="Arial"/>
          <w:b w:val="false"/>
          <w:bCs w:val="false"/>
          <w:i w:val="false"/>
          <w:iCs w:val="false"/>
          <w:color w:val="111111"/>
          <w:sz w:val="20"/>
          <w:szCs w:val="20"/>
        </w:rPr>
        <w:t xml:space="preserve"/>
      </w:r>
    </w:p>
    <w:p>
      <w:pPr>
        <w:spacing w:after="100" w:before="180"/>
      </w:pPr>
      <w:r>
        <w:rPr>
          <w:rFonts w:ascii="Arial" w:cs="Arial" w:eastAsia="Arial" w:hAnsi="Arial"/>
          <w:b/>
          <w:bCs/>
          <w:i w:val="false"/>
          <w:iCs w:val="false"/>
          <w:color w:val="111111"/>
          <w:sz w:val="22"/>
          <w:szCs w:val="22"/>
        </w:rPr>
        <w:t xml:space="preserve">1.  Problem Statement</w:t>
      </w:r>
    </w:p>
    <w:p>
      <w:pPr>
        <w:spacing w:after="110" w:before="0"/>
        <w:jc w:val="left"/>
      </w:pPr>
      <w:r>
        <w:rPr>
          <w:rFonts w:ascii="Arial" w:cs="Arial" w:eastAsia="Arial" w:hAnsi="Arial"/>
          <w:b w:val="false"/>
          <w:bCs w:val="false"/>
          <w:i w:val="false"/>
          <w:iCs w:val="false"/>
          <w:color w:val="111111"/>
          <w:sz w:val="20"/>
          <w:szCs w:val="20"/>
        </w:rPr>
        <w:t xml:space="preserve">Security engineers who manage multiple cloud accounts deal with a very specific kind of frustration. They log into a security tool, and instead of seeing clarity, they see a wall of misconfiguration alerts with no real sense of what actually needs fixing first. Is that S3 bucket issue worse than the IAM one? Which account is most at risk? The tool doesn't tell them. So they end up switching between AWS, GCP and Azure consoles manually, trying to piece together a picture in their head.</w:t>
      </w:r>
    </w:p>
    <w:p>
      <w:pPr>
        <w:spacing w:after="60"/>
      </w:pPr>
      <w:r>
        <w:rPr>
          <w:rFonts w:ascii="Arial" w:cs="Arial" w:eastAsia="Arial" w:hAnsi="Arial"/>
          <w:b w:val="false"/>
          <w:bCs w:val="false"/>
          <w:i w:val="false"/>
          <w:iCs w:val="false"/>
          <w:color w:val="111111"/>
          <w:sz w:val="20"/>
          <w:szCs w:val="20"/>
        </w:rPr>
        <w:t xml:space="preserve"/>
      </w:r>
    </w:p>
    <w:p>
      <w:pPr>
        <w:spacing w:after="110" w:before="0"/>
        <w:jc w:val="left"/>
      </w:pPr>
      <w:r>
        <w:rPr>
          <w:rFonts w:ascii="Arial" w:cs="Arial" w:eastAsia="Arial" w:hAnsi="Arial"/>
          <w:b w:val="false"/>
          <w:bCs w:val="false"/>
          <w:i w:val="false"/>
          <w:iCs w:val="false"/>
          <w:color w:val="111111"/>
          <w:sz w:val="20"/>
          <w:szCs w:val="20"/>
        </w:rPr>
        <w:t xml:space="preserve">That context-switching adds up to over an hour of wasted time every single day. And the alerts keep coming.</w:t>
      </w:r>
    </w:p>
    <w:p>
      <w:pPr>
        <w:spacing w:after="60"/>
      </w:pPr>
      <w:r>
        <w:rPr>
          <w:rFonts w:ascii="Arial" w:cs="Arial" w:eastAsia="Arial" w:hAnsi="Arial"/>
          <w:b w:val="false"/>
          <w:bCs w:val="false"/>
          <w:i w:val="false"/>
          <w:iCs w:val="false"/>
          <w:color w:val="111111"/>
          <w:sz w:val="20"/>
          <w:szCs w:val="20"/>
        </w:rPr>
        <w:t xml:space="preserve"/>
      </w:r>
    </w:p>
    <w:p>
      <w:pPr>
        <w:spacing w:after="110" w:before="0"/>
        <w:jc w:val="left"/>
      </w:pPr>
      <w:r>
        <w:rPr>
          <w:rFonts w:ascii="Arial" w:cs="Arial" w:eastAsia="Arial" w:hAnsi="Arial"/>
          <w:b w:val="false"/>
          <w:bCs w:val="false"/>
          <w:i w:val="false"/>
          <w:iCs w:val="false"/>
          <w:color w:val="111111"/>
          <w:sz w:val="20"/>
          <w:szCs w:val="20"/>
        </w:rPr>
        <w:t xml:space="preserve">The real problem is not a shortage of data. It is that nobody has organised the data in a way that helps the engineer act quickly. The Cloud Posture Dashboard is meant to fix that. One screen, all accounts, worst issues at the top, and a clear path to fixing each one.</w:t>
      </w:r>
    </w:p>
    <w:p>
      <w:pPr>
        <w:spacing w:after="120"/>
      </w:pPr>
      <w:r>
        <w:rPr>
          <w:rFonts w:ascii="Arial" w:cs="Arial" w:eastAsia="Arial" w:hAnsi="Arial"/>
          <w:b w:val="false"/>
          <w:bCs w:val="false"/>
          <w:i w:val="false"/>
          <w:iCs w:val="false"/>
          <w:color w:val="111111"/>
          <w:sz w:val="20"/>
          <w:szCs w:val="20"/>
        </w:rPr>
        <w:t xml:space="preserve"/>
      </w:r>
    </w:p>
    <w:p>
      <w:pPr>
        <w:spacing w:after="100" w:before="180"/>
      </w:pPr>
      <w:r>
        <w:rPr>
          <w:rFonts w:ascii="Arial" w:cs="Arial" w:eastAsia="Arial" w:hAnsi="Arial"/>
          <w:b/>
          <w:bCs/>
          <w:i w:val="false"/>
          <w:iCs w:val="false"/>
          <w:color w:val="111111"/>
          <w:sz w:val="22"/>
          <w:szCs w:val="22"/>
        </w:rPr>
        <w:t xml:space="preserve">2.  User Persona</w:t>
      </w:r>
    </w:p>
    <w:p>
      <w:pPr>
        <w:spacing w:after="50"/>
      </w:pPr>
      <w:r>
        <w:rPr>
          <w:rFonts w:ascii="Arial" w:cs="Arial" w:eastAsia="Arial" w:hAnsi="Arial"/>
          <w:b w:val="false"/>
          <w:bCs w:val="false"/>
          <w:i w:val="false"/>
          <w:iCs w:val="false"/>
          <w:color w:val="111111"/>
          <w:sz w:val="20"/>
          <w:szCs w:val="20"/>
        </w:rPr>
        <w:t xml:space="preserve"/>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00"/>
        <w:gridCol w:w="8040"/>
      </w:tblGrid>
      <w:tr>
        <w:tc>
          <w:tcPr>
            <w:gridSpan w:val="2"/>
            <w:tcBorders>
              <w:top w:val="single" w:color="BBBBBB" w:sz="1"/>
              <w:left w:val="single" w:color="BBBBBB" w:sz="1"/>
              <w:bottom w:val="single" w:color="BBBBBB" w:sz="1"/>
              <w:right w:val="single" w:color="BBBBBB" w:sz="1"/>
            </w:tcBorders>
            <w:shd w:fill="222222" w:val="clear"/>
            <w:tcMar>
              <w:top w:type="dxa" w:w="90"/>
              <w:left w:type="dxa" w:w="130"/>
              <w:bottom w:type="dxa" w:w="90"/>
              <w:right w:type="dxa" w:w="130"/>
            </w:tcMar>
          </w:tcPr>
          <w:p>
            <w:pPr>
              <w:spacing w:after="0" w:before="0"/>
              <w:jc w:val="left"/>
            </w:pPr>
            <w:r>
              <w:rPr>
                <w:rFonts w:ascii="Arial" w:cs="Arial" w:eastAsia="Arial" w:hAnsi="Arial"/>
                <w:b/>
                <w:bCs/>
                <w:i w:val="false"/>
                <w:iCs w:val="false"/>
                <w:color w:val="FFFFFF"/>
                <w:sz w:val="20"/>
                <w:szCs w:val="20"/>
              </w:rPr>
              <w:t xml:space="preserve">Primary User -- Cloud Security Engineer</w:t>
            </w:r>
          </w:p>
        </w:tc>
      </w:tr>
      <w:tr>
        <w:tc>
          <w:tcPr>
            <w:tcW w:type="dxa" w:w="2200"/>
            <w:tcBorders>
              <w:top w:val="single" w:color="BBBBBB" w:sz="1"/>
              <w:left w:val="single" w:color="BBBBBB" w:sz="1"/>
              <w:bottom w:val="single" w:color="BBBBBB" w:sz="1"/>
              <w:right w:val="single" w:color="BBBBBB" w:sz="1"/>
            </w:tcBorders>
            <w:shd w:fill="F2F2F2" w:val="clear"/>
            <w:tcMar>
              <w:top w:type="dxa" w:w="90"/>
              <w:left w:type="dxa" w:w="130"/>
              <w:bottom w:type="dxa" w:w="90"/>
              <w:right w:type="dxa" w:w="130"/>
            </w:tcMar>
          </w:tcPr>
          <w:p>
            <w:r>
              <w:rPr>
                <w:rFonts w:ascii="Arial" w:cs="Arial" w:eastAsia="Arial" w:hAnsi="Arial"/>
                <w:b/>
                <w:bCs/>
                <w:i w:val="false"/>
                <w:iCs w:val="false"/>
                <w:color w:val="111111"/>
                <w:sz w:val="18"/>
                <w:szCs w:val="18"/>
              </w:rPr>
              <w:t xml:space="preserve">Name / Role</w:t>
            </w:r>
          </w:p>
        </w:tc>
        <w:tc>
          <w:tcPr>
            <w:tcW w:type="dxa" w:w="80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Priya, Senior Cloud Security Engineer at a 300-person SaaS company</w:t>
            </w:r>
          </w:p>
        </w:tc>
      </w:tr>
      <w:tr>
        <w:tc>
          <w:tcPr>
            <w:tcW w:type="dxa" w:w="2200"/>
            <w:tcBorders>
              <w:top w:val="single" w:color="BBBBBB" w:sz="1"/>
              <w:left w:val="single" w:color="BBBBBB" w:sz="1"/>
              <w:bottom w:val="single" w:color="BBBBBB" w:sz="1"/>
              <w:right w:val="single" w:color="BBBBBB" w:sz="1"/>
            </w:tcBorders>
            <w:shd w:fill="F2F2F2" w:val="clear"/>
            <w:tcMar>
              <w:top w:type="dxa" w:w="90"/>
              <w:left w:type="dxa" w:w="130"/>
              <w:bottom w:type="dxa" w:w="90"/>
              <w:right w:type="dxa" w:w="130"/>
            </w:tcMar>
          </w:tcPr>
          <w:p>
            <w:r>
              <w:rPr>
                <w:rFonts w:ascii="Arial" w:cs="Arial" w:eastAsia="Arial" w:hAnsi="Arial"/>
                <w:b/>
                <w:bCs/>
                <w:i w:val="false"/>
                <w:iCs w:val="false"/>
                <w:color w:val="111111"/>
                <w:sz w:val="18"/>
                <w:szCs w:val="18"/>
              </w:rPr>
              <w:t xml:space="preserve">Team</w:t>
            </w:r>
          </w:p>
        </w:tc>
        <w:tc>
          <w:tcPr>
            <w:tcW w:type="dxa" w:w="8040"/>
            <w:tcBorders>
              <w:top w:val="single" w:color="BBBBBB" w:sz="1"/>
              <w:left w:val="single" w:color="BBBBBB" w:sz="1"/>
              <w:bottom w:val="single" w:color="BBBBBB" w:sz="1"/>
              <w:right w:val="single" w:color="BBBBBB" w:sz="1"/>
            </w:tcBorders>
            <w:shd w:fill="DDDDDD"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Security team of 6 people</w:t>
            </w:r>
          </w:p>
        </w:tc>
      </w:tr>
      <w:tr>
        <w:tc>
          <w:tcPr>
            <w:tcW w:type="dxa" w:w="2200"/>
            <w:tcBorders>
              <w:top w:val="single" w:color="BBBBBB" w:sz="1"/>
              <w:left w:val="single" w:color="BBBBBB" w:sz="1"/>
              <w:bottom w:val="single" w:color="BBBBBB" w:sz="1"/>
              <w:right w:val="single" w:color="BBBBBB" w:sz="1"/>
            </w:tcBorders>
            <w:shd w:fill="F2F2F2" w:val="clear"/>
            <w:tcMar>
              <w:top w:type="dxa" w:w="90"/>
              <w:left w:type="dxa" w:w="130"/>
              <w:bottom w:type="dxa" w:w="90"/>
              <w:right w:type="dxa" w:w="130"/>
            </w:tcMar>
          </w:tcPr>
          <w:p>
            <w:r>
              <w:rPr>
                <w:rFonts w:ascii="Arial" w:cs="Arial" w:eastAsia="Arial" w:hAnsi="Arial"/>
                <w:b/>
                <w:bCs/>
                <w:i w:val="false"/>
                <w:iCs w:val="false"/>
                <w:color w:val="111111"/>
                <w:sz w:val="18"/>
                <w:szCs w:val="18"/>
              </w:rPr>
              <w:t xml:space="preserve">Cloud Setup</w:t>
            </w:r>
          </w:p>
        </w:tc>
        <w:tc>
          <w:tcPr>
            <w:tcW w:type="dxa" w:w="80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AWS (Prod and Dev accounts), GCP (one project), Azure (one subscription)</w:t>
            </w:r>
          </w:p>
        </w:tc>
      </w:tr>
      <w:tr>
        <w:tc>
          <w:tcPr>
            <w:tcW w:type="dxa" w:w="2200"/>
            <w:tcBorders>
              <w:top w:val="single" w:color="BBBBBB" w:sz="1"/>
              <w:left w:val="single" w:color="BBBBBB" w:sz="1"/>
              <w:bottom w:val="single" w:color="BBBBBB" w:sz="1"/>
              <w:right w:val="single" w:color="BBBBBB" w:sz="1"/>
            </w:tcBorders>
            <w:shd w:fill="F2F2F2" w:val="clear"/>
            <w:tcMar>
              <w:top w:type="dxa" w:w="90"/>
              <w:left w:type="dxa" w:w="130"/>
              <w:bottom w:type="dxa" w:w="90"/>
              <w:right w:type="dxa" w:w="130"/>
            </w:tcMar>
          </w:tcPr>
          <w:p>
            <w:r>
              <w:rPr>
                <w:rFonts w:ascii="Arial" w:cs="Arial" w:eastAsia="Arial" w:hAnsi="Arial"/>
                <w:b/>
                <w:bCs/>
                <w:i w:val="false"/>
                <w:iCs w:val="false"/>
                <w:color w:val="111111"/>
                <w:sz w:val="18"/>
                <w:szCs w:val="18"/>
              </w:rPr>
              <w:t xml:space="preserve">Daily Work</w:t>
            </w:r>
          </w:p>
        </w:tc>
        <w:tc>
          <w:tcPr>
            <w:tcW w:type="dxa" w:w="8040"/>
            <w:tcBorders>
              <w:top w:val="single" w:color="BBBBBB" w:sz="1"/>
              <w:left w:val="single" w:color="BBBBBB" w:sz="1"/>
              <w:bottom w:val="single" w:color="BBBBBB" w:sz="1"/>
              <w:right w:val="single" w:color="BBBBBB" w:sz="1"/>
            </w:tcBorders>
            <w:shd w:fill="DDDDDD"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Triaging alerts, applying CIS and SOC2 benchmarks, handling incidents, and sending a weekly posture report to the CISO</w:t>
            </w:r>
          </w:p>
        </w:tc>
      </w:tr>
      <w:tr>
        <w:tc>
          <w:tcPr>
            <w:tcW w:type="dxa" w:w="2200"/>
            <w:tcBorders>
              <w:top w:val="single" w:color="BBBBBB" w:sz="1"/>
              <w:left w:val="single" w:color="BBBBBB" w:sz="1"/>
              <w:bottom w:val="single" w:color="BBBBBB" w:sz="1"/>
              <w:right w:val="single" w:color="BBBBBB" w:sz="1"/>
            </w:tcBorders>
            <w:shd w:fill="F2F2F2" w:val="clear"/>
            <w:tcMar>
              <w:top w:type="dxa" w:w="90"/>
              <w:left w:type="dxa" w:w="130"/>
              <w:bottom w:type="dxa" w:w="90"/>
              <w:right w:type="dxa" w:w="130"/>
            </w:tcMar>
          </w:tcPr>
          <w:p>
            <w:r>
              <w:rPr>
                <w:rFonts w:ascii="Arial" w:cs="Arial" w:eastAsia="Arial" w:hAnsi="Arial"/>
                <w:b/>
                <w:bCs/>
                <w:i w:val="false"/>
                <w:iCs w:val="false"/>
                <w:color w:val="111111"/>
                <w:sz w:val="18"/>
                <w:szCs w:val="18"/>
              </w:rPr>
              <w:t xml:space="preserve">Frustrations</w:t>
            </w:r>
          </w:p>
        </w:tc>
        <w:tc>
          <w:tcPr>
            <w:tcW w:type="dxa" w:w="80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Switches between 4 cloud consoles every day. Cannot quickly tell what is critical vs. low priority. Has no easy way to show the CISO whether things are getting better or worse over time.</w:t>
            </w:r>
          </w:p>
        </w:tc>
      </w:tr>
      <w:tr>
        <w:tc>
          <w:tcPr>
            <w:tcW w:type="dxa" w:w="2200"/>
            <w:tcBorders>
              <w:top w:val="single" w:color="BBBBBB" w:sz="1"/>
              <w:left w:val="single" w:color="BBBBBB" w:sz="1"/>
              <w:bottom w:val="single" w:color="BBBBBB" w:sz="1"/>
              <w:right w:val="single" w:color="BBBBBB" w:sz="1"/>
            </w:tcBorders>
            <w:shd w:fill="F2F2F2" w:val="clear"/>
            <w:tcMar>
              <w:top w:type="dxa" w:w="90"/>
              <w:left w:type="dxa" w:w="130"/>
              <w:bottom w:type="dxa" w:w="90"/>
              <w:right w:type="dxa" w:w="130"/>
            </w:tcMar>
          </w:tcPr>
          <w:p>
            <w:r>
              <w:rPr>
                <w:rFonts w:ascii="Arial" w:cs="Arial" w:eastAsia="Arial" w:hAnsi="Arial"/>
                <w:b/>
                <w:bCs/>
                <w:i w:val="false"/>
                <w:iCs w:val="false"/>
                <w:color w:val="111111"/>
                <w:sz w:val="18"/>
                <w:szCs w:val="18"/>
              </w:rPr>
              <w:t xml:space="preserve">What she needs</w:t>
            </w:r>
          </w:p>
        </w:tc>
        <w:tc>
          <w:tcPr>
            <w:tcW w:type="dxa" w:w="8040"/>
            <w:tcBorders>
              <w:top w:val="single" w:color="BBBBBB" w:sz="1"/>
              <w:left w:val="single" w:color="BBBBBB" w:sz="1"/>
              <w:bottom w:val="single" w:color="BBBBBB" w:sz="1"/>
              <w:right w:val="single" w:color="BBBBBB" w:sz="1"/>
            </w:tcBorders>
            <w:shd w:fill="DDDDDD"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One place to see all her cloud risk, filter it down fast, and find the fix without having to open a separate tab.</w:t>
            </w:r>
          </w:p>
        </w:tc>
      </w:tr>
      <w:tr>
        <w:tc>
          <w:tcPr>
            <w:gridSpan w:val="2"/>
            <w:tcBorders>
              <w:top w:val="single" w:color="BBBBBB" w:sz="1"/>
              <w:left w:val="single" w:color="BBBBBB" w:sz="1"/>
              <w:bottom w:val="single" w:color="BBBBBB" w:sz="1"/>
              <w:right w:val="single" w:color="BBBBBB" w:sz="1"/>
            </w:tcBorders>
            <w:shd w:fill="F8F8F8" w:val="clear"/>
            <w:tcMar>
              <w:top w:type="dxa" w:w="90"/>
              <w:left w:type="dxa" w:w="130"/>
              <w:bottom w:type="dxa" w:w="90"/>
              <w:right w:type="dxa" w:w="130"/>
            </w:tcMar>
          </w:tcPr>
          <w:p>
            <w:pPr>
              <w:spacing w:after="0" w:before="0"/>
              <w:jc w:val="left"/>
            </w:pPr>
            <w:r>
              <w:rPr>
                <w:rFonts w:ascii="Arial" w:cs="Arial" w:eastAsia="Arial" w:hAnsi="Arial"/>
                <w:b w:val="false"/>
                <w:bCs w:val="false"/>
                <w:i/>
                <w:iCs/>
                <w:color w:val="555555"/>
                <w:sz w:val="18"/>
                <w:szCs w:val="18"/>
              </w:rPr>
              <w:t xml:space="preserve">Secondary User: CISO / Engineering Manager. Needs a posture score trend, compliance summary, and something exportable for board-level reporting. Does not need raw alert details.</w:t>
            </w:r>
          </w:p>
        </w:tc>
      </w:tr>
    </w:tbl>
    <w:p>
      <w:pPr>
        <w:spacing w:after="120"/>
      </w:pPr>
      <w:r>
        <w:rPr>
          <w:rFonts w:ascii="Arial" w:cs="Arial" w:eastAsia="Arial" w:hAnsi="Arial"/>
          <w:b w:val="false"/>
          <w:bCs w:val="false"/>
          <w:i w:val="false"/>
          <w:iCs w:val="false"/>
          <w:color w:val="111111"/>
          <w:sz w:val="20"/>
          <w:szCs w:val="20"/>
        </w:rPr>
        <w:t xml:space="preserve"/>
      </w:r>
    </w:p>
    <w:p>
      <w:pPr>
        <w:spacing w:after="100" w:before="180"/>
      </w:pPr>
      <w:r>
        <w:rPr>
          <w:rFonts w:ascii="Arial" w:cs="Arial" w:eastAsia="Arial" w:hAnsi="Arial"/>
          <w:b/>
          <w:bCs/>
          <w:i w:val="false"/>
          <w:iCs w:val="false"/>
          <w:color w:val="111111"/>
          <w:sz w:val="22"/>
          <w:szCs w:val="22"/>
        </w:rPr>
        <w:t xml:space="preserve">3.  Proposed Features</w:t>
      </w:r>
    </w:p>
    <w:p>
      <w:pPr>
        <w:spacing w:after="40"/>
      </w:pPr>
      <w:r>
        <w:rPr>
          <w:rFonts w:ascii="Arial" w:cs="Arial" w:eastAsia="Arial" w:hAnsi="Arial"/>
          <w:b w:val="false"/>
          <w:bCs w:val="false"/>
          <w:i w:val="false"/>
          <w:iCs w:val="false"/>
          <w:color w:val="111111"/>
          <w:sz w:val="20"/>
          <w:szCs w:val="20"/>
        </w:rPr>
        <w:t xml:space="preserve"/>
      </w:r>
    </w:p>
    <w:p>
      <w:pPr>
        <w:spacing w:after="60" w:before="0"/>
        <w:jc w:val="left"/>
      </w:pPr>
      <w:r>
        <w:rPr>
          <w:rFonts w:ascii="Arial" w:cs="Arial" w:eastAsia="Arial" w:hAnsi="Arial"/>
          <w:b/>
          <w:bCs/>
          <w:i w:val="false"/>
          <w:iCs w:val="false"/>
          <w:color w:val="111111"/>
          <w:sz w:val="20"/>
          <w:szCs w:val="20"/>
        </w:rPr>
        <w:t xml:space="preserve">Screen 1 -- Posture Overview</w:t>
      </w:r>
    </w:p>
    <w:p>
      <w:pPr>
        <w:pStyle w:val="ListParagraph"/>
        <w:numPr>
          <w:ilvl w:val="0"/>
          <w:numId w:val="2"/>
        </w:numPr>
        <w:spacing w:after="70"/>
      </w:pPr>
      <w:r>
        <w:rPr>
          <w:rFonts w:ascii="Arial" w:cs="Arial" w:eastAsia="Arial" w:hAnsi="Arial"/>
          <w:b w:val="false"/>
          <w:bCs w:val="false"/>
          <w:i w:val="false"/>
          <w:iCs w:val="false"/>
          <w:color w:val="111111"/>
          <w:sz w:val="20"/>
          <w:szCs w:val="20"/>
        </w:rPr>
        <w:t xml:space="preserve">Four stat cards at the top showing Critical, High, Medium counts and an overall Posture Score, each with a small delta showing change since yesterday. The engineer knows the situation in under ten seconds.</w:t>
      </w:r>
    </w:p>
    <w:p>
      <w:pPr>
        <w:pStyle w:val="ListParagraph"/>
        <w:numPr>
          <w:ilvl w:val="0"/>
          <w:numId w:val="2"/>
        </w:numPr>
        <w:spacing w:after="70"/>
      </w:pPr>
      <w:r>
        <w:rPr>
          <w:rFonts w:ascii="Arial" w:cs="Arial" w:eastAsia="Arial" w:hAnsi="Arial"/>
          <w:b w:val="false"/>
          <w:bCs w:val="false"/>
          <w:i w:val="false"/>
          <w:iCs w:val="false"/>
          <w:color w:val="111111"/>
          <w:sz w:val="20"/>
          <w:szCs w:val="20"/>
        </w:rPr>
        <w:t xml:space="preserve">A filter bar that lets you narrow by severity, cloud provider, and service type at the same time. Combinations work freely so finding 'Critical AWS IAM issues only' takes two clicks.</w:t>
      </w:r>
    </w:p>
    <w:p>
      <w:pPr>
        <w:pStyle w:val="ListParagraph"/>
        <w:numPr>
          <w:ilvl w:val="0"/>
          <w:numId w:val="2"/>
        </w:numPr>
        <w:spacing w:after="70"/>
      </w:pPr>
      <w:r>
        <w:rPr>
          <w:rFonts w:ascii="Arial" w:cs="Arial" w:eastAsia="Arial" w:hAnsi="Arial"/>
          <w:b w:val="false"/>
          <w:bCs w:val="false"/>
          <w:i w:val="false"/>
          <w:iCs w:val="false"/>
          <w:color w:val="111111"/>
          <w:sz w:val="20"/>
          <w:szCs w:val="20"/>
        </w:rPr>
        <w:t xml:space="preserve">A misconfigurations table with sortable rows. Each row shows the issue name, which account it is in, severity, the affected resource, and when it was found. Clicking a row goes to the detail screen.</w:t>
      </w:r>
    </w:p>
    <w:p>
      <w:pPr>
        <w:pStyle w:val="ListParagraph"/>
        <w:numPr>
          <w:ilvl w:val="0"/>
          <w:numId w:val="2"/>
        </w:numPr>
        <w:spacing w:after="70"/>
      </w:pPr>
      <w:r>
        <w:rPr>
          <w:rFonts w:ascii="Arial" w:cs="Arial" w:eastAsia="Arial" w:hAnsi="Arial"/>
          <w:b w:val="false"/>
          <w:bCs w:val="false"/>
          <w:i w:val="false"/>
          <w:iCs w:val="false"/>
          <w:color w:val="111111"/>
          <w:sz w:val="20"/>
          <w:szCs w:val="20"/>
        </w:rPr>
        <w:t xml:space="preserve">A sidebar showing per-account posture scores and a small bar chart of the top offending services, so it is immediately obvious which account and which service type is causing the most problems.</w:t>
      </w:r>
    </w:p>
    <w:p>
      <w:pPr>
        <w:spacing w:after="60"/>
      </w:pPr>
      <w:r>
        <w:rPr>
          <w:rFonts w:ascii="Arial" w:cs="Arial" w:eastAsia="Arial" w:hAnsi="Arial"/>
          <w:b w:val="false"/>
          <w:bCs w:val="false"/>
          <w:i w:val="false"/>
          <w:iCs w:val="false"/>
          <w:color w:val="111111"/>
          <w:sz w:val="20"/>
          <w:szCs w:val="20"/>
        </w:rPr>
        <w:t xml:space="preserve"/>
      </w:r>
    </w:p>
    <w:p>
      <w:pPr>
        <w:spacing w:after="60" w:before="0"/>
        <w:jc w:val="left"/>
      </w:pPr>
      <w:r>
        <w:rPr>
          <w:rFonts w:ascii="Arial" w:cs="Arial" w:eastAsia="Arial" w:hAnsi="Arial"/>
          <w:b/>
          <w:bCs/>
          <w:i w:val="false"/>
          <w:iCs w:val="false"/>
          <w:color w:val="111111"/>
          <w:sz w:val="20"/>
          <w:szCs w:val="20"/>
        </w:rPr>
        <w:t xml:space="preserve">Screen 2 -- Misconfiguration Detail</w:t>
      </w:r>
    </w:p>
    <w:p>
      <w:pPr>
        <w:pStyle w:val="ListParagraph"/>
        <w:numPr>
          <w:ilvl w:val="0"/>
          <w:numId w:val="2"/>
        </w:numPr>
        <w:spacing w:after="70"/>
      </w:pPr>
      <w:r>
        <w:rPr>
          <w:rFonts w:ascii="Arial" w:cs="Arial" w:eastAsia="Arial" w:hAnsi="Arial"/>
          <w:b w:val="false"/>
          <w:bCs w:val="false"/>
          <w:i w:val="false"/>
          <w:iCs w:val="false"/>
          <w:color w:val="111111"/>
          <w:sz w:val="20"/>
          <w:szCs w:val="20"/>
        </w:rPr>
        <w:t xml:space="preserve">A plain-English explanation of what is wrong, with the problematic config snippet shown directly on the page.</w:t>
      </w:r>
    </w:p>
    <w:p>
      <w:pPr>
        <w:pStyle w:val="ListParagraph"/>
        <w:numPr>
          <w:ilvl w:val="0"/>
          <w:numId w:val="2"/>
        </w:numPr>
        <w:spacing w:after="70"/>
      </w:pPr>
      <w:r>
        <w:rPr>
          <w:rFonts w:ascii="Arial" w:cs="Arial" w:eastAsia="Arial" w:hAnsi="Arial"/>
          <w:b w:val="false"/>
          <w:bCs w:val="false"/>
          <w:i w:val="false"/>
          <w:iCs w:val="false"/>
          <w:color w:val="111111"/>
          <w:sz w:val="20"/>
          <w:szCs w:val="20"/>
        </w:rPr>
        <w:t xml:space="preserve">A numbered fix guide with specific steps and CLI commands. The engineer can resolve the issue without switching to the AWS console or a wiki.</w:t>
      </w:r>
    </w:p>
    <w:p>
      <w:pPr>
        <w:pStyle w:val="ListParagraph"/>
        <w:numPr>
          <w:ilvl w:val="0"/>
          <w:numId w:val="2"/>
        </w:numPr>
        <w:spacing w:after="70"/>
      </w:pPr>
      <w:r>
        <w:rPr>
          <w:rFonts w:ascii="Arial" w:cs="Arial" w:eastAsia="Arial" w:hAnsi="Arial"/>
          <w:b w:val="false"/>
          <w:bCs w:val="false"/>
          <w:i w:val="false"/>
          <w:iCs w:val="false"/>
          <w:color w:val="111111"/>
          <w:sz w:val="20"/>
          <w:szCs w:val="20"/>
        </w:rPr>
        <w:t xml:space="preserve">A risk context card showing a CVSS-style score, which compliance frameworks are affected, and how many resources or files are exposed.</w:t>
      </w:r>
    </w:p>
    <w:p>
      <w:pPr>
        <w:pStyle w:val="ListParagraph"/>
        <w:numPr>
          <w:ilvl w:val="0"/>
          <w:numId w:val="2"/>
        </w:numPr>
        <w:spacing w:after="70"/>
      </w:pPr>
      <w:r>
        <w:rPr>
          <w:rFonts w:ascii="Arial" w:cs="Arial" w:eastAsia="Arial" w:hAnsi="Arial"/>
          <w:b w:val="false"/>
          <w:bCs w:val="false"/>
          <w:i w:val="false"/>
          <w:iCs w:val="false"/>
          <w:color w:val="111111"/>
          <w:sz w:val="20"/>
          <w:szCs w:val="20"/>
        </w:rPr>
        <w:t xml:space="preserve">A related issues panel that automatically shows other misconfigs on the same resource. This way the engineer fixes the whole problem, not just one symptom.</w:t>
      </w:r>
    </w:p>
    <w:p>
      <w:pPr>
        <w:spacing w:after="60"/>
      </w:pPr>
      <w:r>
        <w:rPr>
          <w:rFonts w:ascii="Arial" w:cs="Arial" w:eastAsia="Arial" w:hAnsi="Arial"/>
          <w:b w:val="false"/>
          <w:bCs w:val="false"/>
          <w:i w:val="false"/>
          <w:iCs w:val="false"/>
          <w:color w:val="111111"/>
          <w:sz w:val="20"/>
          <w:szCs w:val="20"/>
        </w:rPr>
        <w:t xml:space="preserve"/>
      </w:r>
    </w:p>
    <w:p>
      <w:pPr>
        <w:spacing w:after="60" w:before="0"/>
        <w:jc w:val="left"/>
      </w:pPr>
      <w:r>
        <w:rPr>
          <w:rFonts w:ascii="Arial" w:cs="Arial" w:eastAsia="Arial" w:hAnsi="Arial"/>
          <w:b/>
          <w:bCs/>
          <w:i w:val="false"/>
          <w:iCs w:val="false"/>
          <w:color w:val="111111"/>
          <w:sz w:val="20"/>
          <w:szCs w:val="20"/>
        </w:rPr>
        <w:t xml:space="preserve">Screen 3 -- Analytics and Trends</w:t>
      </w:r>
    </w:p>
    <w:p>
      <w:pPr>
        <w:pStyle w:val="ListParagraph"/>
        <w:numPr>
          <w:ilvl w:val="0"/>
          <w:numId w:val="2"/>
        </w:numPr>
        <w:spacing w:after="70"/>
      </w:pPr>
      <w:r>
        <w:rPr>
          <w:rFonts w:ascii="Arial" w:cs="Arial" w:eastAsia="Arial" w:hAnsi="Arial"/>
          <w:b w:val="false"/>
          <w:bCs w:val="false"/>
          <w:i w:val="false"/>
          <w:iCs w:val="false"/>
          <w:color w:val="111111"/>
          <w:sz w:val="20"/>
          <w:szCs w:val="20"/>
        </w:rPr>
        <w:t xml:space="preserve">A 30-day bar chart of open issues so the team can see whether things are improving. Useful for the weekly CISO report.</w:t>
      </w:r>
    </w:p>
    <w:p>
      <w:pPr>
        <w:pStyle w:val="ListParagraph"/>
        <w:numPr>
          <w:ilvl w:val="0"/>
          <w:numId w:val="2"/>
        </w:numPr>
        <w:spacing w:after="70"/>
      </w:pPr>
      <w:r>
        <w:rPr>
          <w:rFonts w:ascii="Arial" w:cs="Arial" w:eastAsia="Arial" w:hAnsi="Arial"/>
          <w:b w:val="false"/>
          <w:bCs w:val="false"/>
          <w:i w:val="false"/>
          <w:iCs w:val="false"/>
          <w:color w:val="111111"/>
          <w:sz w:val="20"/>
          <w:szCs w:val="20"/>
        </w:rPr>
        <w:t xml:space="preserve">A detection heatmap broken down by day of week. Helps identify patterns like issues spiking after Friday deploys.</w:t>
      </w:r>
    </w:p>
    <w:p>
      <w:pPr>
        <w:pStyle w:val="ListParagraph"/>
        <w:numPr>
          <w:ilvl w:val="0"/>
          <w:numId w:val="2"/>
        </w:numPr>
        <w:spacing w:after="70"/>
      </w:pPr>
      <w:r>
        <w:rPr>
          <w:rFonts w:ascii="Arial" w:cs="Arial" w:eastAsia="Arial" w:hAnsi="Arial"/>
          <w:b w:val="false"/>
          <w:bCs w:val="false"/>
          <w:i w:val="false"/>
          <w:iCs w:val="false"/>
          <w:color w:val="111111"/>
          <w:sz w:val="20"/>
          <w:szCs w:val="20"/>
        </w:rPr>
        <w:t xml:space="preserve">A ranked list of the most at-risk resources by composite score, so the team always knows what to tackle first.</w:t>
      </w:r>
    </w:p>
    <w:p>
      <w:pPr>
        <w:spacing w:after="120"/>
      </w:pPr>
      <w:r>
        <w:rPr>
          <w:rFonts w:ascii="Arial" w:cs="Arial" w:eastAsia="Arial" w:hAnsi="Arial"/>
          <w:b w:val="false"/>
          <w:bCs w:val="false"/>
          <w:i w:val="false"/>
          <w:iCs w:val="false"/>
          <w:color w:val="111111"/>
          <w:sz w:val="20"/>
          <w:szCs w:val="20"/>
        </w:rPr>
        <w:t xml:space="preserve"/>
      </w:r>
    </w:p>
    <w:p>
      <w:pPr>
        <w:spacing w:after="100" w:before="180"/>
      </w:pPr>
      <w:r>
        <w:rPr>
          <w:rFonts w:ascii="Arial" w:cs="Arial" w:eastAsia="Arial" w:hAnsi="Arial"/>
          <w:b/>
          <w:bCs/>
          <w:i w:val="false"/>
          <w:iCs w:val="false"/>
          <w:color w:val="111111"/>
          <w:sz w:val="22"/>
          <w:szCs w:val="22"/>
        </w:rPr>
        <w:t xml:space="preserve">4.  Prioritisation</w:t>
      </w:r>
    </w:p>
    <w:p>
      <w:pPr>
        <w:spacing w:after="50"/>
      </w:pPr>
      <w:r>
        <w:rPr>
          <w:rFonts w:ascii="Arial" w:cs="Arial" w:eastAsia="Arial" w:hAnsi="Arial"/>
          <w:b w:val="false"/>
          <w:bCs w:val="false"/>
          <w:i w:val="false"/>
          <w:iCs w:val="false"/>
          <w:color w:val="111111"/>
          <w:sz w:val="20"/>
          <w:szCs w:val="20"/>
        </w:rPr>
        <w:t xml:space="preserve"/>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3840"/>
      </w:tblGrid>
      <w:tr>
        <w:tc>
          <w:tcPr>
            <w:tcW w:type="dxa" w:w="1600"/>
            <w:tcBorders>
              <w:top w:val="single" w:color="BBBBBB" w:sz="1"/>
              <w:left w:val="single" w:color="BBBBBB" w:sz="1"/>
              <w:bottom w:val="single" w:color="BBBBBB" w:sz="1"/>
              <w:right w:val="single" w:color="BBBBBB" w:sz="1"/>
            </w:tcBorders>
            <w:shd w:fill="333333" w:val="clear"/>
            <w:tcMar>
              <w:top w:type="dxa" w:w="90"/>
              <w:left w:type="dxa" w:w="130"/>
              <w:bottom w:type="dxa" w:w="90"/>
              <w:right w:type="dxa" w:w="130"/>
            </w:tcMar>
          </w:tcPr>
          <w:p>
            <w:r>
              <w:rPr>
                <w:rFonts w:ascii="Arial" w:cs="Arial" w:eastAsia="Arial" w:hAnsi="Arial"/>
                <w:b/>
                <w:bCs/>
                <w:i w:val="false"/>
                <w:iCs w:val="false"/>
                <w:color w:val="FFFFFF"/>
                <w:sz w:val="18"/>
                <w:szCs w:val="18"/>
              </w:rPr>
              <w:t xml:space="preserve">Priority</w:t>
            </w:r>
          </w:p>
        </w:tc>
        <w:tc>
          <w:tcPr>
            <w:tcW w:type="dxa" w:w="4800"/>
            <w:tcBorders>
              <w:top w:val="single" w:color="BBBBBB" w:sz="1"/>
              <w:left w:val="single" w:color="BBBBBB" w:sz="1"/>
              <w:bottom w:val="single" w:color="BBBBBB" w:sz="1"/>
              <w:right w:val="single" w:color="BBBBBB" w:sz="1"/>
            </w:tcBorders>
            <w:shd w:fill="333333" w:val="clear"/>
            <w:tcMar>
              <w:top w:type="dxa" w:w="90"/>
              <w:left w:type="dxa" w:w="130"/>
              <w:bottom w:type="dxa" w:w="90"/>
              <w:right w:type="dxa" w:w="130"/>
            </w:tcMar>
          </w:tcPr>
          <w:p>
            <w:r>
              <w:rPr>
                <w:rFonts w:ascii="Arial" w:cs="Arial" w:eastAsia="Arial" w:hAnsi="Arial"/>
                <w:b/>
                <w:bCs/>
                <w:i w:val="false"/>
                <w:iCs w:val="false"/>
                <w:color w:val="FFFFFF"/>
                <w:sz w:val="18"/>
                <w:szCs w:val="18"/>
              </w:rPr>
              <w:t xml:space="preserve">Feature</w:t>
            </w:r>
          </w:p>
        </w:tc>
        <w:tc>
          <w:tcPr>
            <w:tcW w:type="dxa" w:w="3840"/>
            <w:tcBorders>
              <w:top w:val="single" w:color="BBBBBB" w:sz="1"/>
              <w:left w:val="single" w:color="BBBBBB" w:sz="1"/>
              <w:bottom w:val="single" w:color="BBBBBB" w:sz="1"/>
              <w:right w:val="single" w:color="BBBBBB" w:sz="1"/>
            </w:tcBorders>
            <w:shd w:fill="333333" w:val="clear"/>
            <w:tcMar>
              <w:top w:type="dxa" w:w="90"/>
              <w:left w:type="dxa" w:w="130"/>
              <w:bottom w:type="dxa" w:w="90"/>
              <w:right w:type="dxa" w:w="130"/>
            </w:tcMar>
          </w:tcPr>
          <w:p>
            <w:r>
              <w:rPr>
                <w:rFonts w:ascii="Arial" w:cs="Arial" w:eastAsia="Arial" w:hAnsi="Arial"/>
                <w:b/>
                <w:bCs/>
                <w:i w:val="false"/>
                <w:iCs w:val="false"/>
                <w:color w:val="FFFFFF"/>
                <w:sz w:val="18"/>
                <w:szCs w:val="18"/>
              </w:rPr>
              <w:t xml:space="preserve">Why</w:t>
            </w:r>
          </w:p>
        </w:tc>
      </w:tr>
      <w:tr>
        <w:tc>
          <w:tcPr>
            <w:tcW w:type="dxa" w:w="1600"/>
            <w:tcBorders>
              <w:top w:val="single" w:color="BBBBBB" w:sz="1"/>
              <w:left w:val="single" w:color="BBBBBB" w:sz="1"/>
              <w:bottom w:val="single" w:color="BBBBBB" w:sz="1"/>
              <w:right w:val="single" w:color="BBBBBB" w:sz="1"/>
            </w:tcBorders>
            <w:shd w:fill="F2F2F2" w:val="clear"/>
            <w:tcMar>
              <w:top w:type="dxa" w:w="90"/>
              <w:left w:type="dxa" w:w="130"/>
              <w:bottom w:type="dxa" w:w="90"/>
              <w:right w:type="dxa" w:w="130"/>
            </w:tcMar>
          </w:tcPr>
          <w:p>
            <w:r>
              <w:rPr>
                <w:rFonts w:ascii="Arial" w:cs="Arial" w:eastAsia="Arial" w:hAnsi="Arial"/>
                <w:b/>
                <w:bCs/>
                <w:i w:val="false"/>
                <w:iCs w:val="false"/>
                <w:color w:val="111111"/>
                <w:sz w:val="18"/>
                <w:szCs w:val="18"/>
              </w:rPr>
              <w:t xml:space="preserve">Must Have</w:t>
            </w:r>
          </w:p>
        </w:tc>
        <w:tc>
          <w:tcPr>
            <w:tcW w:type="dxa" w:w="4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Severity-filtered cross-account misconfiguration list</w:t>
            </w:r>
          </w:p>
        </w:tc>
        <w:tc>
          <w:tcPr>
            <w:tcW w:type="dxa" w:w="38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This is the core feature. Without it the product has no purpose.</w:t>
            </w:r>
          </w:p>
        </w:tc>
      </w:tr>
      <w:tr>
        <w:tc>
          <w:tcPr>
            <w:tcW w:type="dxa" w:w="1600"/>
            <w:tcBorders>
              <w:top w:val="single" w:color="BBBBBB" w:sz="1"/>
              <w:left w:val="single" w:color="BBBBBB" w:sz="1"/>
              <w:bottom w:val="single" w:color="BBBBBB" w:sz="1"/>
              <w:right w:val="single" w:color="BBBBBB" w:sz="1"/>
            </w:tcBorders>
            <w:shd w:fill="F2F2F2" w:val="clear"/>
            <w:tcMar>
              <w:top w:type="dxa" w:w="90"/>
              <w:left w:type="dxa" w:w="130"/>
              <w:bottom w:type="dxa" w:w="90"/>
              <w:right w:type="dxa" w:w="130"/>
            </w:tcMar>
          </w:tcPr>
          <w:p>
            <w:r>
              <w:rPr>
                <w:rFonts w:ascii="Arial" w:cs="Arial" w:eastAsia="Arial" w:hAnsi="Arial"/>
                <w:b/>
                <w:bCs/>
                <w:i w:val="false"/>
                <w:iCs w:val="false"/>
                <w:color w:val="111111"/>
                <w:sz w:val="18"/>
                <w:szCs w:val="18"/>
              </w:rPr>
              <w:t xml:space="preserve">Must Have</w:t>
            </w:r>
          </w:p>
        </w:tc>
        <w:tc>
          <w:tcPr>
            <w:tcW w:type="dxa" w:w="4800"/>
            <w:tcBorders>
              <w:top w:val="single" w:color="BBBBBB" w:sz="1"/>
              <w:left w:val="single" w:color="BBBBBB" w:sz="1"/>
              <w:bottom w:val="single" w:color="BBBBBB" w:sz="1"/>
              <w:right w:val="single" w:color="BBBBBB" w:sz="1"/>
            </w:tcBorders>
            <w:shd w:fill="DDDDDD"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Inline step-by-step fix guide on the detail screen</w:t>
            </w:r>
          </w:p>
        </w:tc>
        <w:tc>
          <w:tcPr>
            <w:tcW w:type="dxa" w:w="3840"/>
            <w:tcBorders>
              <w:top w:val="single" w:color="BBBBBB" w:sz="1"/>
              <w:left w:val="single" w:color="BBBBBB" w:sz="1"/>
              <w:bottom w:val="single" w:color="BBBBBB" w:sz="1"/>
              <w:right w:val="single" w:color="BBBBBB" w:sz="1"/>
            </w:tcBorders>
            <w:shd w:fill="DDDDDD"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Removes the biggest daily pain point, which is context switching.</w:t>
            </w:r>
          </w:p>
        </w:tc>
      </w:tr>
      <w:tr>
        <w:tc>
          <w:tcPr>
            <w:tcW w:type="dxa" w:w="1600"/>
            <w:tcBorders>
              <w:top w:val="single" w:color="BBBBBB" w:sz="1"/>
              <w:left w:val="single" w:color="BBBBBB" w:sz="1"/>
              <w:bottom w:val="single" w:color="BBBBBB" w:sz="1"/>
              <w:right w:val="single" w:color="BBBBBB" w:sz="1"/>
            </w:tcBorders>
            <w:shd w:fill="F2F2F2" w:val="clear"/>
            <w:tcMar>
              <w:top w:type="dxa" w:w="90"/>
              <w:left w:type="dxa" w:w="130"/>
              <w:bottom w:type="dxa" w:w="90"/>
              <w:right w:type="dxa" w:w="130"/>
            </w:tcMar>
          </w:tcPr>
          <w:p>
            <w:r>
              <w:rPr>
                <w:rFonts w:ascii="Arial" w:cs="Arial" w:eastAsia="Arial" w:hAnsi="Arial"/>
                <w:b/>
                <w:bCs/>
                <w:i w:val="false"/>
                <w:iCs w:val="false"/>
                <w:color w:val="111111"/>
                <w:sz w:val="18"/>
                <w:szCs w:val="18"/>
              </w:rPr>
              <w:t xml:space="preserve">Should Have</w:t>
            </w:r>
          </w:p>
        </w:tc>
        <w:tc>
          <w:tcPr>
            <w:tcW w:type="dxa" w:w="4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Per-account posture scores with trend delta</w:t>
            </w:r>
          </w:p>
        </w:tc>
        <w:tc>
          <w:tcPr>
            <w:tcW w:type="dxa" w:w="38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Makes stakeholder reporting much easier for the engineer.</w:t>
            </w:r>
          </w:p>
        </w:tc>
      </w:tr>
      <w:tr>
        <w:tc>
          <w:tcPr>
            <w:tcW w:type="dxa" w:w="1600"/>
            <w:tcBorders>
              <w:top w:val="single" w:color="BBBBBB" w:sz="1"/>
              <w:left w:val="single" w:color="BBBBBB" w:sz="1"/>
              <w:bottom w:val="single" w:color="BBBBBB" w:sz="1"/>
              <w:right w:val="single" w:color="BBBBBB" w:sz="1"/>
            </w:tcBorders>
            <w:shd w:fill="F2F2F2" w:val="clear"/>
            <w:tcMar>
              <w:top w:type="dxa" w:w="90"/>
              <w:left w:type="dxa" w:w="130"/>
              <w:bottom w:type="dxa" w:w="90"/>
              <w:right w:type="dxa" w:w="130"/>
            </w:tcMar>
          </w:tcPr>
          <w:p>
            <w:r>
              <w:rPr>
                <w:rFonts w:ascii="Arial" w:cs="Arial" w:eastAsia="Arial" w:hAnsi="Arial"/>
                <w:b/>
                <w:bCs/>
                <w:i w:val="false"/>
                <w:iCs w:val="false"/>
                <w:color w:val="111111"/>
                <w:sz w:val="18"/>
                <w:szCs w:val="18"/>
              </w:rPr>
              <w:t xml:space="preserve">Should Have</w:t>
            </w:r>
          </w:p>
        </w:tc>
        <w:tc>
          <w:tcPr>
            <w:tcW w:type="dxa" w:w="4800"/>
            <w:tcBorders>
              <w:top w:val="single" w:color="BBBBBB" w:sz="1"/>
              <w:left w:val="single" w:color="BBBBBB" w:sz="1"/>
              <w:bottom w:val="single" w:color="BBBBBB" w:sz="1"/>
              <w:right w:val="single" w:color="BBBBBB" w:sz="1"/>
            </w:tcBorders>
            <w:shd w:fill="DDDDDD"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Risk context card with compliance tags on detail screen</w:t>
            </w:r>
          </w:p>
        </w:tc>
        <w:tc>
          <w:tcPr>
            <w:tcW w:type="dxa" w:w="3840"/>
            <w:tcBorders>
              <w:top w:val="single" w:color="BBBBBB" w:sz="1"/>
              <w:left w:val="single" w:color="BBBBBB" w:sz="1"/>
              <w:bottom w:val="single" w:color="BBBBBB" w:sz="1"/>
              <w:right w:val="single" w:color="BBBBBB" w:sz="1"/>
            </w:tcBorders>
            <w:shd w:fill="DDDDDD"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Gives the engineer evidence to escalate issues to developers.</w:t>
            </w:r>
          </w:p>
        </w:tc>
      </w:tr>
      <w:tr>
        <w:tc>
          <w:tcPr>
            <w:tcW w:type="dxa" w:w="1600"/>
            <w:tcBorders>
              <w:top w:val="single" w:color="BBBBBB" w:sz="1"/>
              <w:left w:val="single" w:color="BBBBBB" w:sz="1"/>
              <w:bottom w:val="single" w:color="BBBBBB" w:sz="1"/>
              <w:right w:val="single" w:color="BBBBBB" w:sz="1"/>
            </w:tcBorders>
            <w:shd w:fill="F2F2F2" w:val="clear"/>
            <w:tcMar>
              <w:top w:type="dxa" w:w="90"/>
              <w:left w:type="dxa" w:w="130"/>
              <w:bottom w:type="dxa" w:w="90"/>
              <w:right w:type="dxa" w:w="130"/>
            </w:tcMar>
          </w:tcPr>
          <w:p>
            <w:r>
              <w:rPr>
                <w:rFonts w:ascii="Arial" w:cs="Arial" w:eastAsia="Arial" w:hAnsi="Arial"/>
                <w:b/>
                <w:bCs/>
                <w:i w:val="false"/>
                <w:iCs w:val="false"/>
                <w:color w:val="111111"/>
                <w:sz w:val="18"/>
                <w:szCs w:val="18"/>
              </w:rPr>
              <w:t xml:space="preserve">Could Have</w:t>
            </w:r>
          </w:p>
        </w:tc>
        <w:tc>
          <w:tcPr>
            <w:tcW w:type="dxa" w:w="4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30-day trend chart and detection heatmap</w:t>
            </w:r>
          </w:p>
        </w:tc>
        <w:tc>
          <w:tcPr>
            <w:tcW w:type="dxa" w:w="38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Useful for reporting but not needed on day one.</w:t>
            </w:r>
          </w:p>
        </w:tc>
      </w:tr>
      <w:tr>
        <w:tc>
          <w:tcPr>
            <w:tcW w:type="dxa" w:w="1600"/>
            <w:tcBorders>
              <w:top w:val="single" w:color="BBBBBB" w:sz="1"/>
              <w:left w:val="single" w:color="BBBBBB" w:sz="1"/>
              <w:bottom w:val="single" w:color="BBBBBB" w:sz="1"/>
              <w:right w:val="single" w:color="BBBBBB" w:sz="1"/>
            </w:tcBorders>
            <w:shd w:fill="F2F2F2" w:val="clear"/>
            <w:tcMar>
              <w:top w:type="dxa" w:w="90"/>
              <w:left w:type="dxa" w:w="130"/>
              <w:bottom w:type="dxa" w:w="90"/>
              <w:right w:type="dxa" w:w="130"/>
            </w:tcMar>
          </w:tcPr>
          <w:p>
            <w:r>
              <w:rPr>
                <w:rFonts w:ascii="Arial" w:cs="Arial" w:eastAsia="Arial" w:hAnsi="Arial"/>
                <w:b/>
                <w:bCs/>
                <w:i w:val="false"/>
                <w:iCs w:val="false"/>
                <w:color w:val="111111"/>
                <w:sz w:val="18"/>
                <w:szCs w:val="18"/>
              </w:rPr>
              <w:t xml:space="preserve">Won't (v1)</w:t>
            </w:r>
          </w:p>
        </w:tc>
        <w:tc>
          <w:tcPr>
            <w:tcW w:type="dxa" w:w="4800"/>
            <w:tcBorders>
              <w:top w:val="single" w:color="BBBBBB" w:sz="1"/>
              <w:left w:val="single" w:color="BBBBBB" w:sz="1"/>
              <w:bottom w:val="single" w:color="BBBBBB" w:sz="1"/>
              <w:right w:val="single" w:color="BBBBBB" w:sz="1"/>
            </w:tcBorders>
            <w:shd w:fill="DDDDDD"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One-click auto-remediation that applies fixes automatically</w:t>
            </w:r>
          </w:p>
        </w:tc>
        <w:tc>
          <w:tcPr>
            <w:tcW w:type="dxa" w:w="3840"/>
            <w:tcBorders>
              <w:top w:val="single" w:color="BBBBBB" w:sz="1"/>
              <w:left w:val="single" w:color="BBBBBB" w:sz="1"/>
              <w:bottom w:val="single" w:color="BBBBBB" w:sz="1"/>
              <w:right w:val="single" w:color="BBBBBB" w:sz="1"/>
            </w:tcBorders>
            <w:shd w:fill="DDDDDD"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Too risky without a proper rollback mechanism. This belongs in v2.</w:t>
            </w:r>
          </w:p>
        </w:tc>
      </w:tr>
    </w:tbl>
    <w:p>
      <w:pPr>
        <w:spacing w:after="120"/>
      </w:pPr>
      <w:r>
        <w:rPr>
          <w:rFonts w:ascii="Arial" w:cs="Arial" w:eastAsia="Arial" w:hAnsi="Arial"/>
          <w:b w:val="false"/>
          <w:bCs w:val="false"/>
          <w:i w:val="false"/>
          <w:iCs w:val="false"/>
          <w:color w:val="111111"/>
          <w:sz w:val="20"/>
          <w:szCs w:val="20"/>
        </w:rPr>
        <w:t xml:space="preserve"/>
      </w:r>
    </w:p>
    <w:p>
      <w:pPr>
        <w:spacing w:after="100" w:before="180"/>
      </w:pPr>
      <w:r>
        <w:rPr>
          <w:rFonts w:ascii="Arial" w:cs="Arial" w:eastAsia="Arial" w:hAnsi="Arial"/>
          <w:b/>
          <w:bCs/>
          <w:i w:val="false"/>
          <w:iCs w:val="false"/>
          <w:color w:val="111111"/>
          <w:sz w:val="22"/>
          <w:szCs w:val="22"/>
        </w:rPr>
        <w:t xml:space="preserve">5.  Success Metrics</w:t>
      </w:r>
    </w:p>
    <w:p>
      <w:pPr>
        <w:spacing w:after="50"/>
      </w:pPr>
      <w:r>
        <w:rPr>
          <w:rFonts w:ascii="Arial" w:cs="Arial" w:eastAsia="Arial" w:hAnsi="Arial"/>
          <w:b w:val="false"/>
          <w:bCs w:val="false"/>
          <w:i w:val="false"/>
          <w:iCs w:val="false"/>
          <w:color w:val="111111"/>
          <w:sz w:val="20"/>
          <w:szCs w:val="20"/>
        </w:rPr>
        <w:t xml:space="preserve"/>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00"/>
        <w:gridCol w:w="4240"/>
        <w:gridCol w:w="3400"/>
      </w:tblGrid>
      <w:tr>
        <w:tc>
          <w:tcPr>
            <w:tcW w:type="dxa" w:w="2600"/>
            <w:tcBorders>
              <w:top w:val="single" w:color="BBBBBB" w:sz="1"/>
              <w:left w:val="single" w:color="BBBBBB" w:sz="1"/>
              <w:bottom w:val="single" w:color="BBBBBB" w:sz="1"/>
              <w:right w:val="single" w:color="BBBBBB" w:sz="1"/>
            </w:tcBorders>
            <w:shd w:fill="333333" w:val="clear"/>
            <w:tcMar>
              <w:top w:type="dxa" w:w="90"/>
              <w:left w:type="dxa" w:w="130"/>
              <w:bottom w:type="dxa" w:w="90"/>
              <w:right w:type="dxa" w:w="130"/>
            </w:tcMar>
          </w:tcPr>
          <w:p>
            <w:r>
              <w:rPr>
                <w:rFonts w:ascii="Arial" w:cs="Arial" w:eastAsia="Arial" w:hAnsi="Arial"/>
                <w:b/>
                <w:bCs/>
                <w:i w:val="false"/>
                <w:iCs w:val="false"/>
                <w:color w:val="FFFFFF"/>
                <w:sz w:val="18"/>
                <w:szCs w:val="18"/>
              </w:rPr>
              <w:t xml:space="preserve">Metric</w:t>
            </w:r>
          </w:p>
        </w:tc>
        <w:tc>
          <w:tcPr>
            <w:tcW w:type="dxa" w:w="4240"/>
            <w:tcBorders>
              <w:top w:val="single" w:color="BBBBBB" w:sz="1"/>
              <w:left w:val="single" w:color="BBBBBB" w:sz="1"/>
              <w:bottom w:val="single" w:color="BBBBBB" w:sz="1"/>
              <w:right w:val="single" w:color="BBBBBB" w:sz="1"/>
            </w:tcBorders>
            <w:shd w:fill="333333" w:val="clear"/>
            <w:tcMar>
              <w:top w:type="dxa" w:w="90"/>
              <w:left w:type="dxa" w:w="130"/>
              <w:bottom w:type="dxa" w:w="90"/>
              <w:right w:type="dxa" w:w="130"/>
            </w:tcMar>
          </w:tcPr>
          <w:p>
            <w:r>
              <w:rPr>
                <w:rFonts w:ascii="Arial" w:cs="Arial" w:eastAsia="Arial" w:hAnsi="Arial"/>
                <w:b/>
                <w:bCs/>
                <w:i w:val="false"/>
                <w:iCs w:val="false"/>
                <w:color w:val="FFFFFF"/>
                <w:sz w:val="18"/>
                <w:szCs w:val="18"/>
              </w:rPr>
              <w:t xml:space="preserve">What it measures</w:t>
            </w:r>
          </w:p>
        </w:tc>
        <w:tc>
          <w:tcPr>
            <w:tcW w:type="dxa" w:w="3400"/>
            <w:tcBorders>
              <w:top w:val="single" w:color="BBBBBB" w:sz="1"/>
              <w:left w:val="single" w:color="BBBBBB" w:sz="1"/>
              <w:bottom w:val="single" w:color="BBBBBB" w:sz="1"/>
              <w:right w:val="single" w:color="BBBBBB" w:sz="1"/>
            </w:tcBorders>
            <w:shd w:fill="333333" w:val="clear"/>
            <w:tcMar>
              <w:top w:type="dxa" w:w="90"/>
              <w:left w:type="dxa" w:w="130"/>
              <w:bottom w:type="dxa" w:w="90"/>
              <w:right w:type="dxa" w:w="130"/>
            </w:tcMar>
          </w:tcPr>
          <w:p>
            <w:r>
              <w:rPr>
                <w:rFonts w:ascii="Arial" w:cs="Arial" w:eastAsia="Arial" w:hAnsi="Arial"/>
                <w:b/>
                <w:bCs/>
                <w:i w:val="false"/>
                <w:iCs w:val="false"/>
                <w:color w:val="FFFFFF"/>
                <w:sz w:val="18"/>
                <w:szCs w:val="18"/>
              </w:rPr>
              <w:t xml:space="preserve">Target at 90 days</w:t>
            </w:r>
          </w:p>
        </w:tc>
      </w:tr>
      <w:tr>
        <w:tc>
          <w:tcPr>
            <w:tcW w:type="dxa" w:w="2600"/>
            <w:tcBorders>
              <w:top w:val="single" w:color="BBBBBB" w:sz="1"/>
              <w:left w:val="single" w:color="BBBBBB" w:sz="1"/>
              <w:bottom w:val="single" w:color="BBBBBB" w:sz="1"/>
              <w:right w:val="single" w:color="BBBBBB" w:sz="1"/>
            </w:tcBorders>
            <w:shd w:fill="F2F2F2" w:val="clear"/>
            <w:tcMar>
              <w:top w:type="dxa" w:w="90"/>
              <w:left w:type="dxa" w:w="130"/>
              <w:bottom w:type="dxa" w:w="90"/>
              <w:right w:type="dxa" w:w="130"/>
            </w:tcMar>
          </w:tcPr>
          <w:p>
            <w:r>
              <w:rPr>
                <w:rFonts w:ascii="Arial" w:cs="Arial" w:eastAsia="Arial" w:hAnsi="Arial"/>
                <w:b/>
                <w:bCs/>
                <w:i w:val="false"/>
                <w:iCs w:val="false"/>
                <w:color w:val="111111"/>
                <w:sz w:val="18"/>
                <w:szCs w:val="18"/>
              </w:rPr>
              <w:t xml:space="preserve">Time to Triage</w:t>
            </w:r>
          </w:p>
        </w:tc>
        <w:tc>
          <w:tcPr>
            <w:tcW w:type="dxa" w:w="42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Time from alert being detected to the engineer opening the detail screen</w:t>
            </w:r>
          </w:p>
        </w:tc>
        <w:tc>
          <w:tcPr>
            <w:tcW w:type="dxa" w:w="3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Under 5 minutes (currently around 45 minutes)</w:t>
            </w:r>
          </w:p>
        </w:tc>
      </w:tr>
      <w:tr>
        <w:tc>
          <w:tcPr>
            <w:tcW w:type="dxa" w:w="2600"/>
            <w:tcBorders>
              <w:top w:val="single" w:color="BBBBBB" w:sz="1"/>
              <w:left w:val="single" w:color="BBBBBB" w:sz="1"/>
              <w:bottom w:val="single" w:color="BBBBBB" w:sz="1"/>
              <w:right w:val="single" w:color="BBBBBB" w:sz="1"/>
            </w:tcBorders>
            <w:shd w:fill="F2F2F2" w:val="clear"/>
            <w:tcMar>
              <w:top w:type="dxa" w:w="90"/>
              <w:left w:type="dxa" w:w="130"/>
              <w:bottom w:type="dxa" w:w="90"/>
              <w:right w:type="dxa" w:w="130"/>
            </w:tcMar>
          </w:tcPr>
          <w:p>
            <w:r>
              <w:rPr>
                <w:rFonts w:ascii="Arial" w:cs="Arial" w:eastAsia="Arial" w:hAnsi="Arial"/>
                <w:b/>
                <w:bCs/>
                <w:i w:val="false"/>
                <w:iCs w:val="false"/>
                <w:color w:val="111111"/>
                <w:sz w:val="18"/>
                <w:szCs w:val="18"/>
              </w:rPr>
              <w:t xml:space="preserve">Time to Remediate</w:t>
            </w:r>
          </w:p>
        </w:tc>
        <w:tc>
          <w:tcPr>
            <w:tcW w:type="dxa" w:w="4240"/>
            <w:tcBorders>
              <w:top w:val="single" w:color="BBBBBB" w:sz="1"/>
              <w:left w:val="single" w:color="BBBBBB" w:sz="1"/>
              <w:bottom w:val="single" w:color="BBBBBB" w:sz="1"/>
              <w:right w:val="single" w:color="BBBBBB" w:sz="1"/>
            </w:tcBorders>
            <w:shd w:fill="DDDDDD"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Time from opening a detail page to marking the issue as resolved</w:t>
            </w:r>
          </w:p>
        </w:tc>
        <w:tc>
          <w:tcPr>
            <w:tcW w:type="dxa" w:w="3400"/>
            <w:tcBorders>
              <w:top w:val="single" w:color="BBBBBB" w:sz="1"/>
              <w:left w:val="single" w:color="BBBBBB" w:sz="1"/>
              <w:bottom w:val="single" w:color="BBBBBB" w:sz="1"/>
              <w:right w:val="single" w:color="BBBBBB" w:sz="1"/>
            </w:tcBorders>
            <w:shd w:fill="DDDDDD"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Under 30 minutes for Critical severity issues</w:t>
            </w:r>
          </w:p>
        </w:tc>
      </w:tr>
      <w:tr>
        <w:tc>
          <w:tcPr>
            <w:tcW w:type="dxa" w:w="2600"/>
            <w:tcBorders>
              <w:top w:val="single" w:color="BBBBBB" w:sz="1"/>
              <w:left w:val="single" w:color="BBBBBB" w:sz="1"/>
              <w:bottom w:val="single" w:color="BBBBBB" w:sz="1"/>
              <w:right w:val="single" w:color="BBBBBB" w:sz="1"/>
            </w:tcBorders>
            <w:shd w:fill="F2F2F2" w:val="clear"/>
            <w:tcMar>
              <w:top w:type="dxa" w:w="90"/>
              <w:left w:type="dxa" w:w="130"/>
              <w:bottom w:type="dxa" w:w="90"/>
              <w:right w:type="dxa" w:w="130"/>
            </w:tcMar>
          </w:tcPr>
          <w:p>
            <w:r>
              <w:rPr>
                <w:rFonts w:ascii="Arial" w:cs="Arial" w:eastAsia="Arial" w:hAnsi="Arial"/>
                <w:b/>
                <w:bCs/>
                <w:i w:val="false"/>
                <w:iCs w:val="false"/>
                <w:color w:val="111111"/>
                <w:sz w:val="18"/>
                <w:szCs w:val="18"/>
              </w:rPr>
              <w:t xml:space="preserve">Critical Open Rate</w:t>
            </w:r>
          </w:p>
        </w:tc>
        <w:tc>
          <w:tcPr>
            <w:tcW w:type="dxa" w:w="42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Percentage of Critical findings still open after 24 hours</w:t>
            </w:r>
          </w:p>
        </w:tc>
        <w:tc>
          <w:tcPr>
            <w:tcW w:type="dxa" w:w="3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Below 10 percent (currently around 40 percent)</w:t>
            </w:r>
          </w:p>
        </w:tc>
      </w:tr>
      <w:tr>
        <w:tc>
          <w:tcPr>
            <w:tcW w:type="dxa" w:w="2600"/>
            <w:tcBorders>
              <w:top w:val="single" w:color="BBBBBB" w:sz="1"/>
              <w:left w:val="single" w:color="BBBBBB" w:sz="1"/>
              <w:bottom w:val="single" w:color="BBBBBB" w:sz="1"/>
              <w:right w:val="single" w:color="BBBBBB" w:sz="1"/>
            </w:tcBorders>
            <w:shd w:fill="F2F2F2" w:val="clear"/>
            <w:tcMar>
              <w:top w:type="dxa" w:w="90"/>
              <w:left w:type="dxa" w:w="130"/>
              <w:bottom w:type="dxa" w:w="90"/>
              <w:right w:type="dxa" w:w="130"/>
            </w:tcMar>
          </w:tcPr>
          <w:p>
            <w:r>
              <w:rPr>
                <w:rFonts w:ascii="Arial" w:cs="Arial" w:eastAsia="Arial" w:hAnsi="Arial"/>
                <w:b/>
                <w:bCs/>
                <w:i w:val="false"/>
                <w:iCs w:val="false"/>
                <w:color w:val="111111"/>
                <w:sz w:val="18"/>
                <w:szCs w:val="18"/>
              </w:rPr>
              <w:t xml:space="preserve">Posture Score Growth</w:t>
            </w:r>
          </w:p>
        </w:tc>
        <w:tc>
          <w:tcPr>
            <w:tcW w:type="dxa" w:w="4240"/>
            <w:tcBorders>
              <w:top w:val="single" w:color="BBBBBB" w:sz="1"/>
              <w:left w:val="single" w:color="BBBBBB" w:sz="1"/>
              <w:bottom w:val="single" w:color="BBBBBB" w:sz="1"/>
              <w:right w:val="single" w:color="BBBBBB" w:sz="1"/>
            </w:tcBorders>
            <w:shd w:fill="DDDDDD"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Average posture score across all connected cloud accounts</w:t>
            </w:r>
          </w:p>
        </w:tc>
        <w:tc>
          <w:tcPr>
            <w:tcW w:type="dxa" w:w="3400"/>
            <w:tcBorders>
              <w:top w:val="single" w:color="BBBBBB" w:sz="1"/>
              <w:left w:val="single" w:color="BBBBBB" w:sz="1"/>
              <w:bottom w:val="single" w:color="BBBBBB" w:sz="1"/>
              <w:right w:val="single" w:color="BBBBBB" w:sz="1"/>
            </w:tcBorders>
            <w:shd w:fill="DDDDDD"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Up by 15 points within 90 days</w:t>
            </w:r>
          </w:p>
        </w:tc>
      </w:tr>
      <w:tr>
        <w:tc>
          <w:tcPr>
            <w:tcW w:type="dxa" w:w="2600"/>
            <w:tcBorders>
              <w:top w:val="single" w:color="BBBBBB" w:sz="1"/>
              <w:left w:val="single" w:color="BBBBBB" w:sz="1"/>
              <w:bottom w:val="single" w:color="BBBBBB" w:sz="1"/>
              <w:right w:val="single" w:color="BBBBBB" w:sz="1"/>
            </w:tcBorders>
            <w:shd w:fill="F2F2F2" w:val="clear"/>
            <w:tcMar>
              <w:top w:type="dxa" w:w="90"/>
              <w:left w:type="dxa" w:w="130"/>
              <w:bottom w:type="dxa" w:w="90"/>
              <w:right w:type="dxa" w:w="130"/>
            </w:tcMar>
          </w:tcPr>
          <w:p>
            <w:r>
              <w:rPr>
                <w:rFonts w:ascii="Arial" w:cs="Arial" w:eastAsia="Arial" w:hAnsi="Arial"/>
                <w:b/>
                <w:bCs/>
                <w:i w:val="false"/>
                <w:iCs w:val="false"/>
                <w:color w:val="111111"/>
                <w:sz w:val="18"/>
                <w:szCs w:val="18"/>
              </w:rPr>
              <w:t xml:space="preserve">Filter Usage</w:t>
            </w:r>
          </w:p>
        </w:tc>
        <w:tc>
          <w:tcPr>
            <w:tcW w:type="dxa" w:w="424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Percentage of sessions where the user applies at least one filter</w:t>
            </w:r>
          </w:p>
        </w:tc>
        <w:tc>
          <w:tcPr>
            <w:tcW w:type="dxa" w:w="3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Above 70 percent of active sessions</w:t>
            </w:r>
          </w:p>
        </w:tc>
      </w:tr>
      <w:tr>
        <w:tc>
          <w:tcPr>
            <w:tcW w:type="dxa" w:w="2600"/>
            <w:tcBorders>
              <w:top w:val="single" w:color="BBBBBB" w:sz="1"/>
              <w:left w:val="single" w:color="BBBBBB" w:sz="1"/>
              <w:bottom w:val="single" w:color="BBBBBB" w:sz="1"/>
              <w:right w:val="single" w:color="BBBBBB" w:sz="1"/>
            </w:tcBorders>
            <w:shd w:fill="F2F2F2" w:val="clear"/>
            <w:tcMar>
              <w:top w:type="dxa" w:w="90"/>
              <w:left w:type="dxa" w:w="130"/>
              <w:bottom w:type="dxa" w:w="90"/>
              <w:right w:type="dxa" w:w="130"/>
            </w:tcMar>
          </w:tcPr>
          <w:p>
            <w:r>
              <w:rPr>
                <w:rFonts w:ascii="Arial" w:cs="Arial" w:eastAsia="Arial" w:hAnsi="Arial"/>
                <w:b/>
                <w:bCs/>
                <w:i w:val="false"/>
                <w:iCs w:val="false"/>
                <w:color w:val="111111"/>
                <w:sz w:val="18"/>
                <w:szCs w:val="18"/>
              </w:rPr>
              <w:t xml:space="preserve">Daily Usage (DAU/WAU)</w:t>
            </w:r>
          </w:p>
        </w:tc>
        <w:tc>
          <w:tcPr>
            <w:tcW w:type="dxa" w:w="4240"/>
            <w:tcBorders>
              <w:top w:val="single" w:color="BBBBBB" w:sz="1"/>
              <w:left w:val="single" w:color="BBBBBB" w:sz="1"/>
              <w:bottom w:val="single" w:color="BBBBBB" w:sz="1"/>
              <w:right w:val="single" w:color="BBBBBB" w:sz="1"/>
            </w:tcBorders>
            <w:shd w:fill="DDDDDD"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Whether engineers are returning to the dashboard on most working days</w:t>
            </w:r>
          </w:p>
        </w:tc>
        <w:tc>
          <w:tcPr>
            <w:tcW w:type="dxa" w:w="3400"/>
            <w:tcBorders>
              <w:top w:val="single" w:color="BBBBBB" w:sz="1"/>
              <w:left w:val="single" w:color="BBBBBB" w:sz="1"/>
              <w:bottom w:val="single" w:color="BBBBBB" w:sz="1"/>
              <w:right w:val="single" w:color="BBBBBB" w:sz="1"/>
            </w:tcBorders>
            <w:shd w:fill="DDDDDD" w:val="clear"/>
            <w:tcMar>
              <w:top w:type="dxa" w:w="90"/>
              <w:left w:type="dxa" w:w="130"/>
              <w:bottom w:type="dxa" w:w="90"/>
              <w:right w:type="dxa" w:w="130"/>
            </w:tcMar>
          </w:tcPr>
          <w:p>
            <w:r>
              <w:rPr>
                <w:rFonts w:ascii="Arial" w:cs="Arial" w:eastAsia="Arial" w:hAnsi="Arial"/>
                <w:b w:val="false"/>
                <w:bCs w:val="false"/>
                <w:i w:val="false"/>
                <w:iCs w:val="false"/>
                <w:color w:val="111111"/>
                <w:sz w:val="18"/>
                <w:szCs w:val="18"/>
              </w:rPr>
              <w:t xml:space="preserve">Ratio above 0.6</w:t>
            </w:r>
          </w:p>
        </w:tc>
      </w:tr>
    </w:tbl>
    <w:p>
      <w:pPr>
        <w:spacing w:after="140"/>
      </w:pPr>
      <w:r>
        <w:rPr>
          <w:rFonts w:ascii="Arial" w:cs="Arial" w:eastAsia="Arial" w:hAnsi="Arial"/>
          <w:b w:val="false"/>
          <w:bCs w:val="false"/>
          <w:i w:val="false"/>
          <w:iCs w:val="false"/>
          <w:color w:val="111111"/>
          <w:sz w:val="20"/>
          <w:szCs w:val="20"/>
        </w:rPr>
        <w:t xml:space="preserve"/>
      </w:r>
    </w:p>
    <w:p>
      <w:pPr>
        <w:pBdr>
          <w:top w:val="single" w:color="CCCCCC" w:sz="3" w:space="1"/>
        </w:pBdr>
        <w:spacing w:after="0" w:before="0"/>
        <w:jc w:val="center"/>
      </w:pPr>
      <w:r>
        <w:rPr>
          <w:rFonts w:ascii="Arial" w:cs="Arial" w:eastAsia="Arial" w:hAnsi="Arial"/>
          <w:b w:val="false"/>
          <w:bCs w:val="false"/>
          <w:i/>
          <w:iCs/>
          <w:color w:val="888888"/>
          <w:sz w:val="16"/>
          <w:szCs w:val="16"/>
        </w:rPr>
        <w:t xml:space="preserve">AccuKnox Product Design Exercise  |  Cloud Posture Dashboard  |  Option 1</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2026-03-11T10:51:31.814Z</dcterms:created>
  <dcterms:modified xsi:type="dcterms:W3CDTF">2026-03-11T10:51:31.814Z</dcterms:modified>
</cp:coreProperties>
</file>

<file path=docProps/custom.xml><?xml version="1.0" encoding="utf-8"?>
<Properties xmlns="http://schemas.openxmlformats.org/officeDocument/2006/custom-properties" xmlns:vt="http://schemas.openxmlformats.org/officeDocument/2006/docPropsVTypes"/>
</file>