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Set default font to DejaVu Sans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plt.rcParams['font.family'] = 'DejaVu Sans'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Load competitions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competitions = pd.read_csv("competitions.csv")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Sort competitions based on TotalSubmissions column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competitions_sorted = competitions.sort_values(by="TotalSubmissions", ascending=False)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Select top 10 competitions by total submissions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top_10_competitions = competitions_sorted.head(10)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Plot the top 10 competitions by total submissions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plt.bar(top_10_competitions["Title"], top_10_competitions["TotalSubmissions"])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Setting y-axis ticks using notation like "10,000"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plt.ticklabel_format(style='plain', axis='y')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plt.title('Top 10 Competitions by Total Submissions')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plt.xlabel('Competition')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plt.ylabel('Total Submissions')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plt.xticks(rotation=45, ha='right')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