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36"/>
          <w:szCs w:val="36"/>
        </w:rPr>
        <w:t xml:space="preserve">Employee Data Import Using Import Sets and Transform Maps in ServiceNow</w:t>
      </w:r>
    </w:p>
    <w:p>
      <w:pPr>
        <w:pBdr>
          <w:bottom w:val="single" w:color="2E5597" w:sz="8" w:space="6"/>
        </w:pBdr>
        <w:spacing w:after="240"/>
        <w:jc w:val="center"/>
      </w:pPr>
      <w:r>
        <w:rPr>
          <w:rFonts w:ascii="Calibri" w:cs="Calibri" w:eastAsia="Calibri" w:hAnsi="Calibri"/>
          <w:color w:val="595959"/>
          <w:sz w:val="24"/>
          <w:szCs w:val="24"/>
        </w:rPr>
        <w:t xml:space="preserve">Documentation</w:t>
      </w:r>
    </w:p>
    <w:p>
      <w:pPr>
        <w:pStyle w:val="Heading1"/>
        <w:spacing w:after="120" w:before="280"/>
      </w:pPr>
      <w:r>
        <w:rPr>
          <w:rFonts w:ascii="Calibri" w:cs="Calibri" w:eastAsia="Calibri" w:hAnsi="Calibri"/>
          <w:b/>
          <w:bCs/>
          <w:color w:val="1F3864"/>
          <w:sz w:val="30"/>
          <w:szCs w:val="30"/>
        </w:rPr>
        <w:t xml:space="preserve">1. Overview</w:t>
      </w:r>
    </w:p>
    <w:p>
      <w:pPr>
        <w:spacing w:after="120" w:line="300"/>
      </w:pPr>
      <w:r>
        <w:rPr>
          <w:rFonts w:ascii="Calibri" w:cs="Calibri" w:eastAsia="Calibri" w:hAnsi="Calibri"/>
          <w:sz w:val="22"/>
          <w:szCs w:val="22"/>
        </w:rPr>
        <w:t xml:space="preserve">This section describes how employee information is imported into ServiceNow from a spreadsheet using Import Sets and Transform Maps. The spreadsheet holds employee details: Employee ID, Name, Email, Department, and Location. The import loads this data into the Employee table, creating new records and updating existing ones without manual entry.</w:t>
      </w:r>
    </w:p>
    <w:p>
      <w:pPr>
        <w:pStyle w:val="Heading1"/>
        <w:spacing w:after="120" w:before="280"/>
      </w:pPr>
      <w:r>
        <w:rPr>
          <w:rFonts w:ascii="Calibri" w:cs="Calibri" w:eastAsia="Calibri" w:hAnsi="Calibri"/>
          <w:b/>
          <w:bCs/>
          <w:color w:val="1F3864"/>
          <w:sz w:val="30"/>
          <w:szCs w:val="30"/>
        </w:rPr>
        <w:t xml:space="preserve">2. Objective</w:t>
      </w:r>
    </w:p>
    <w:p>
      <w:pPr>
        <w:pStyle w:val="ListParagraph"/>
        <w:numPr>
          <w:ilvl w:val="0"/>
          <w:numId w:val="2"/>
        </w:numPr>
        <w:spacing w:after="80" w:line="290"/>
      </w:pPr>
      <w:r>
        <w:rPr>
          <w:rFonts w:ascii="Calibri" w:cs="Calibri" w:eastAsia="Calibri" w:hAnsi="Calibri"/>
          <w:sz w:val="22"/>
          <w:szCs w:val="22"/>
        </w:rPr>
        <w:t xml:space="preserve">Load employee data from a spreadsheet into ServiceNow in bulk.</w:t>
      </w:r>
    </w:p>
    <w:p>
      <w:pPr>
        <w:pStyle w:val="ListParagraph"/>
        <w:numPr>
          <w:ilvl w:val="0"/>
          <w:numId w:val="2"/>
        </w:numPr>
        <w:spacing w:after="80" w:line="290"/>
      </w:pPr>
      <w:r>
        <w:rPr>
          <w:rFonts w:ascii="Calibri" w:cs="Calibri" w:eastAsia="Calibri" w:hAnsi="Calibri"/>
          <w:sz w:val="22"/>
          <w:szCs w:val="22"/>
        </w:rPr>
        <w:t xml:space="preserve">Validate the data in a temporary table before it reaches production data.</w:t>
      </w:r>
    </w:p>
    <w:p>
      <w:pPr>
        <w:pStyle w:val="ListParagraph"/>
        <w:numPr>
          <w:ilvl w:val="0"/>
          <w:numId w:val="2"/>
        </w:numPr>
        <w:spacing w:after="80" w:line="290"/>
      </w:pPr>
      <w:r>
        <w:rPr>
          <w:rFonts w:ascii="Calibri" w:cs="Calibri" w:eastAsia="Calibri" w:hAnsi="Calibri"/>
          <w:sz w:val="22"/>
          <w:szCs w:val="22"/>
        </w:rPr>
        <w:t xml:space="preserve">Prevent duplicate employee records by using Employee ID as the unique identifier.</w:t>
      </w:r>
    </w:p>
    <w:p>
      <w:pPr>
        <w:pStyle w:val="ListParagraph"/>
        <w:numPr>
          <w:ilvl w:val="0"/>
          <w:numId w:val="2"/>
        </w:numPr>
        <w:spacing w:after="80" w:line="290"/>
      </w:pPr>
      <w:r>
        <w:rPr>
          <w:rFonts w:ascii="Calibri" w:cs="Calibri" w:eastAsia="Calibri" w:hAnsi="Calibri"/>
          <w:sz w:val="22"/>
          <w:szCs w:val="22"/>
        </w:rPr>
        <w:t xml:space="preserve">Update existing employee records and insert new ones in a single import.</w:t>
      </w:r>
    </w:p>
    <w:p>
      <w:pPr>
        <w:pStyle w:val="Heading1"/>
        <w:spacing w:after="120" w:before="280"/>
      </w:pPr>
      <w:r>
        <w:rPr>
          <w:rFonts w:ascii="Calibri" w:cs="Calibri" w:eastAsia="Calibri" w:hAnsi="Calibri"/>
          <w:b/>
          <w:bCs/>
          <w:color w:val="1F3864"/>
          <w:sz w:val="30"/>
          <w:szCs w:val="30"/>
        </w:rPr>
        <w:t xml:space="preserve">3. Components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rFonts w:ascii="Calibri" w:cs="Calibri" w:eastAsia="Calibri" w:hAnsi="Calibri"/>
                <w:b/>
                <w:bCs/>
                <w:sz w:val="21"/>
                <w:szCs w:val="21"/>
              </w:rPr>
              <w:t xml:space="preserve">Component</w:t>
            </w:r>
          </w:p>
        </w:tc>
        <w:tc>
          <w:tcPr>
            <w:tcW w:type="dxa" w:w="696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rFonts w:ascii="Calibri" w:cs="Calibri" w:eastAsia="Calibri" w:hAnsi="Calibri"/>
                <w:b/>
                <w:bCs/>
                <w:sz w:val="21"/>
                <w:szCs w:val="21"/>
              </w:rPr>
              <w:t xml:space="preserve">Purpose</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Data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Points to the uploaded spreadsheet (.xlsx or .csv) and defines how the file is read</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Import Set Table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Temporary staging table that stores the raw spreadsheet rows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Transform Map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Defines how staging table fields map to target table fields</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Target Table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The Employee table, where the final records are stored</w:t>
            </w:r>
          </w:p>
        </w:tc>
      </w:tr>
      <w:tr>
        <w:trPr>
          <w:tblHeader w:val="false"/>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Coalesce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Field setting that identifies whether a record already exists</w:t>
            </w:r>
          </w:p>
        </w:tc>
      </w:tr>
    </w:tbl>
    <w:p>
      <w:pPr>
        <w:pStyle w:val="Heading1"/>
        <w:spacing w:after="120" w:before="280"/>
      </w:pPr>
      <w:r>
        <w:rPr>
          <w:rFonts w:ascii="Calibri" w:cs="Calibri" w:eastAsia="Calibri" w:hAnsi="Calibri"/>
          <w:b/>
          <w:bCs/>
          <w:color w:val="1F3864"/>
          <w:sz w:val="30"/>
          <w:szCs w:val="30"/>
        </w:rPr>
        <w:t xml:space="preserve">4. Process Description</w:t>
      </w:r>
    </w:p>
    <w:p>
      <w:pPr>
        <w:pStyle w:val="Heading2"/>
        <w:spacing w:after="100" w:before="200"/>
      </w:pPr>
      <w:r>
        <w:rPr>
          <w:rFonts w:ascii="Calibri" w:cs="Calibri" w:eastAsia="Calibri" w:hAnsi="Calibri"/>
          <w:b/>
          <w:bCs/>
          <w:color w:val="2E5597"/>
          <w:sz w:val="24"/>
          <w:szCs w:val="24"/>
        </w:rPr>
        <w:t xml:space="preserve">Step 1: Upload the spreadsheet</w:t>
      </w:r>
    </w:p>
    <w:p>
      <w:pPr>
        <w:spacing w:after="120" w:line="300"/>
      </w:pPr>
      <w:r>
        <w:rPr>
          <w:rFonts w:ascii="Calibri" w:cs="Calibri" w:eastAsia="Calibri" w:hAnsi="Calibri"/>
          <w:sz w:val="22"/>
          <w:szCs w:val="22"/>
        </w:rPr>
        <w:t xml:space="preserve">The spreadsheet is attached to a Data Source record. Its column headers (Employee ID, Name, Email, Department, Location) define the fields of the import.</w:t>
      </w:r>
    </w:p>
    <w:p>
      <w:pPr>
        <w:keepNext/>
        <w:spacing w:after="0" w:before="120"/>
        <w:jc w:val="center"/>
      </w:pPr>
      <w:r>
        <w:drawing>
          <wp:inline distT="0" distB="0" distL="0" distR="0">
            <wp:extent cx="5715000" cy="2857500"/>
            <wp:effectExtent t="0" r="0" b="0" l="0"/>
            <wp:docPr id="1" name="figure1" descr="Data Source record with the employee spreadsheet attached" title="Data Source record with the employee spreadsheet atta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p>
      <w:pPr>
        <w:spacing w:after="200" w:before="80"/>
        <w:jc w:val="center"/>
      </w:pPr>
      <w:r>
        <w:rPr>
          <w:rFonts w:ascii="Calibri" w:cs="Calibri" w:eastAsia="Calibri" w:hAnsi="Calibri"/>
          <w:i/>
          <w:iCs/>
          <w:color w:val="595959"/>
          <w:sz w:val="19"/>
          <w:szCs w:val="19"/>
        </w:rPr>
        <w:t xml:space="preserve">Figure 1: Data Source with the attached spreadsheet (sample illustration)</w:t>
      </w:r>
    </w:p>
    <w:p>
      <w:pPr>
        <w:pStyle w:val="Heading2"/>
        <w:spacing w:after="100" w:before="200"/>
      </w:pPr>
      <w:r>
        <w:rPr>
          <w:rFonts w:ascii="Calibri" w:cs="Calibri" w:eastAsia="Calibri" w:hAnsi="Calibri"/>
          <w:b/>
          <w:bCs/>
          <w:color w:val="2E5597"/>
          <w:sz w:val="24"/>
          <w:szCs w:val="24"/>
        </w:rPr>
        <w:t xml:space="preserve">Step 2: Load data into the Import Set Table</w:t>
      </w:r>
    </w:p>
    <w:p>
      <w:pPr>
        <w:spacing w:after="120" w:line="300"/>
      </w:pPr>
      <w:r>
        <w:rPr>
          <w:rFonts w:ascii="Calibri" w:cs="Calibri" w:eastAsia="Calibri" w:hAnsi="Calibri"/>
          <w:sz w:val="22"/>
          <w:szCs w:val="22"/>
        </w:rPr>
        <w:t xml:space="preserve">The rows are loaded into an Import Set Table, a temporary staging area with one column per spreadsheet header. Because the data is held here first, it can be checked and validated without affecting the Employee table.</w:t>
      </w:r>
    </w:p>
    <w:p>
      <w:pPr>
        <w:keepNext/>
        <w:spacing w:after="0" w:before="120"/>
        <w:jc w:val="center"/>
      </w:pPr>
      <w:r>
        <w:drawing>
          <wp:inline distT="0" distB="0" distL="0" distR="0">
            <wp:extent cx="5715000" cy="2857500"/>
            <wp:effectExtent t="0" r="0" b="0" l="0"/>
            <wp:docPr id="1" name="figure2" descr="Import Set Table showing the loaded employee rows" title="Import Set Table showing the loaded employee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p>
      <w:pPr>
        <w:spacing w:after="200" w:before="80"/>
        <w:jc w:val="center"/>
      </w:pPr>
      <w:r>
        <w:rPr>
          <w:rFonts w:ascii="Calibri" w:cs="Calibri" w:eastAsia="Calibri" w:hAnsi="Calibri"/>
          <w:i/>
          <w:iCs/>
          <w:color w:val="595959"/>
          <w:sz w:val="19"/>
          <w:szCs w:val="19"/>
        </w:rPr>
        <w:t xml:space="preserve">Figure 2: Import Set Table with staged employee data (sample illustration)</w:t>
      </w:r>
    </w:p>
    <w:p>
      <w:pPr>
        <w:pStyle w:val="Heading2"/>
        <w:spacing w:after="100" w:before="200"/>
      </w:pPr>
      <w:r>
        <w:rPr>
          <w:rFonts w:ascii="Calibri" w:cs="Calibri" w:eastAsia="Calibri" w:hAnsi="Calibri"/>
          <w:b/>
          <w:bCs/>
          <w:color w:val="2E5597"/>
          <w:sz w:val="24"/>
          <w:szCs w:val="24"/>
        </w:rPr>
        <w:t xml:space="preserve">Step 3: Apply the Transform Map</w:t>
      </w:r>
    </w:p>
    <w:p>
      <w:pPr>
        <w:spacing w:after="120" w:line="300"/>
      </w:pPr>
      <w:r>
        <w:rPr>
          <w:rFonts w:ascii="Calibri" w:cs="Calibri" w:eastAsia="Calibri" w:hAnsi="Calibri"/>
          <w:sz w:val="22"/>
          <w:szCs w:val="22"/>
        </w:rPr>
        <w:t xml:space="preserve">The Transform Map links each staging field to the matching field in the Employee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rFonts w:ascii="Calibri" w:cs="Calibri" w:eastAsia="Calibri" w:hAnsi="Calibri"/>
                <w:b/>
                <w:bCs/>
                <w:sz w:val="21"/>
                <w:szCs w:val="21"/>
              </w:rPr>
              <w:t xml:space="preserve">Spreadsheet / Staging Field</w:t>
            </w:r>
          </w:p>
        </w:tc>
        <w:tc>
          <w:tcPr>
            <w:tcW w:type="dxa" w:w="4680"/>
            <w:tcBorders>
              <w:top w:val="single" w:color="BFBFBF" w:sz="4"/>
              <w:left w:val="single" w:color="BFBFBF" w:sz="4"/>
              <w:bottom w:val="single" w:color="BFBFBF" w:sz="4"/>
              <w:right w:val="single" w:color="BFBFBF" w:sz="4"/>
            </w:tcBorders>
            <w:shd w:fill="DCE6F2" w:color="auto" w:val="clear"/>
            <w:tcMar>
              <w:top w:type="dxa" w:w="80"/>
              <w:left w:type="dxa" w:w="120"/>
              <w:bottom w:type="dxa" w:w="80"/>
              <w:right w:type="dxa" w:w="120"/>
            </w:tcMar>
          </w:tcPr>
          <w:p>
            <w:r>
              <w:rPr>
                <w:rFonts w:ascii="Calibri" w:cs="Calibri" w:eastAsia="Calibri" w:hAnsi="Calibri"/>
                <w:b/>
                <w:bCs/>
                <w:sz w:val="21"/>
                <w:szCs w:val="21"/>
              </w:rPr>
              <w:t xml:space="preserve">Target Employee Field</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Employee ID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Employee ID</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Name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Name</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Email</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Email</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Department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Department</w:t>
            </w:r>
          </w:p>
        </w:tc>
      </w:tr>
      <w:tr>
        <w:trPr>
          <w:tblHeader w:val="false"/>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Location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1"/>
                <w:szCs w:val="21"/>
              </w:rPr>
              <w:t xml:space="preserve">Location</w:t>
            </w:r>
          </w:p>
        </w:tc>
      </w:tr>
    </w:tbl>
    <w:p>
      <w:pPr>
        <w:spacing w:after="120"/>
      </w:pPr>
    </w:p>
    <w:p>
      <w:pPr>
        <w:keepNext/>
        <w:spacing w:after="0" w:before="120"/>
        <w:jc w:val="center"/>
      </w:pPr>
      <w:r>
        <w:drawing>
          <wp:inline distT="0" distB="0" distL="0" distR="0">
            <wp:extent cx="5715000" cy="2857500"/>
            <wp:effectExtent t="0" r="0" b="0" l="0"/>
            <wp:docPr id="1" name="figure3" descr="Transform Map with the field map list" title="Transform Map with the field map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spacing w:after="200" w:before="80"/>
        <w:jc w:val="center"/>
      </w:pPr>
      <w:r>
        <w:rPr>
          <w:rFonts w:ascii="Calibri" w:cs="Calibri" w:eastAsia="Calibri" w:hAnsi="Calibri"/>
          <w:i/>
          <w:iCs/>
          <w:color w:val="595959"/>
          <w:sz w:val="19"/>
          <w:szCs w:val="19"/>
        </w:rPr>
        <w:t xml:space="preserve">Figure 3: Transform Map field mappings (sample illustration)</w:t>
      </w:r>
    </w:p>
    <w:p>
      <w:pPr>
        <w:pStyle w:val="Heading2"/>
        <w:spacing w:after="100" w:before="200"/>
      </w:pPr>
      <w:r>
        <w:rPr>
          <w:rFonts w:ascii="Calibri" w:cs="Calibri" w:eastAsia="Calibri" w:hAnsi="Calibri"/>
          <w:b/>
          <w:bCs/>
          <w:color w:val="2E5597"/>
          <w:sz w:val="24"/>
          <w:szCs w:val="24"/>
        </w:rPr>
        <w:t xml:space="preserve">Step 4: Identify existing records with Coalesce</w:t>
      </w:r>
    </w:p>
    <w:p>
      <w:pPr>
        <w:spacing w:after="120" w:line="300"/>
      </w:pPr>
      <w:r>
        <w:rPr>
          <w:rFonts w:ascii="Calibri" w:cs="Calibri" w:eastAsia="Calibri" w:hAnsi="Calibri"/>
          <w:sz w:val="22"/>
          <w:szCs w:val="22"/>
        </w:rPr>
        <w:t xml:space="preserve">The Employee ID field map is marked as Coalesce, so the system uses it as the unique identifier:</w:t>
      </w:r>
    </w:p>
    <w:p>
      <w:pPr>
        <w:pStyle w:val="ListParagraph"/>
        <w:numPr>
          <w:ilvl w:val="0"/>
          <w:numId w:val="2"/>
        </w:numPr>
        <w:spacing w:after="80" w:line="290"/>
      </w:pPr>
      <w:r>
        <w:rPr>
          <w:rFonts w:ascii="Calibri" w:cs="Calibri" w:eastAsia="Calibri" w:hAnsi="Calibri"/>
          <w:sz w:val="22"/>
          <w:szCs w:val="22"/>
        </w:rPr>
        <w:t xml:space="preserve">If a record with the same Employee ID </w:t>
      </w:r>
      <w:r>
        <w:rPr>
          <w:rFonts w:ascii="Calibri" w:cs="Calibri" w:eastAsia="Calibri" w:hAnsi="Calibri"/>
          <w:b/>
          <w:bCs/>
          <w:sz w:val="22"/>
          <w:szCs w:val="22"/>
        </w:rPr>
        <w:t xml:space="preserve">exists</w:t>
      </w:r>
      <w:r>
        <w:rPr>
          <w:rFonts w:ascii="Calibri" w:cs="Calibri" w:eastAsia="Calibri" w:hAnsi="Calibri"/>
          <w:sz w:val="22"/>
          <w:szCs w:val="22"/>
        </w:rPr>
        <w:t xml:space="preserve">, it is </w:t>
      </w:r>
      <w:r>
        <w:rPr>
          <w:rFonts w:ascii="Calibri" w:cs="Calibri" w:eastAsia="Calibri" w:hAnsi="Calibri"/>
          <w:b/>
          <w:bCs/>
          <w:sz w:val="22"/>
          <w:szCs w:val="22"/>
        </w:rPr>
        <w:t xml:space="preserve">updated</w:t>
      </w:r>
      <w:r>
        <w:rPr>
          <w:rFonts w:ascii="Calibri" w:cs="Calibri" w:eastAsia="Calibri" w:hAnsi="Calibri"/>
          <w:sz w:val="22"/>
          <w:szCs w:val="22"/>
        </w:rPr>
        <w:t xml:space="preserve"> with the new values.</w:t>
      </w:r>
    </w:p>
    <w:p>
      <w:pPr>
        <w:pStyle w:val="ListParagraph"/>
        <w:numPr>
          <w:ilvl w:val="0"/>
          <w:numId w:val="2"/>
        </w:numPr>
        <w:spacing w:after="80" w:line="290"/>
      </w:pPr>
      <w:r>
        <w:rPr>
          <w:rFonts w:ascii="Calibri" w:cs="Calibri" w:eastAsia="Calibri" w:hAnsi="Calibri"/>
          <w:sz w:val="22"/>
          <w:szCs w:val="22"/>
        </w:rPr>
        <w:t xml:space="preserve">If no matching record is found, a </w:t>
      </w:r>
      <w:r>
        <w:rPr>
          <w:rFonts w:ascii="Calibri" w:cs="Calibri" w:eastAsia="Calibri" w:hAnsi="Calibri"/>
          <w:b/>
          <w:bCs/>
          <w:sz w:val="22"/>
          <w:szCs w:val="22"/>
        </w:rPr>
        <w:t xml:space="preserve">new record is inserted</w:t>
      </w:r>
      <w:r>
        <w:rPr>
          <w:rFonts w:ascii="Calibri" w:cs="Calibri" w:eastAsia="Calibri" w:hAnsi="Calibri"/>
          <w:sz w:val="22"/>
          <w:szCs w:val="22"/>
        </w:rPr>
        <w:t xml:space="preserve">.</w:t>
      </w:r>
    </w:p>
    <w:p>
      <w:pPr>
        <w:keepNext/>
        <w:spacing w:after="0" w:before="120"/>
        <w:jc w:val="center"/>
      </w:pPr>
      <w:r>
        <w:drawing>
          <wp:inline distT="0" distB="0" distL="0" distR="0">
            <wp:extent cx="5715000" cy="2857500"/>
            <wp:effectExtent t="0" r="0" b="0" l="0"/>
            <wp:docPr id="1" name="figure4" descr="Employee ID field map with Coalesce enabled" title="Employee ID field map with Coalesce en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57500"/>
                    </a:xfrm>
                    <a:prstGeom prst="rect">
                      <a:avLst/>
                    </a:prstGeom>
                  </pic:spPr>
                </pic:pic>
              </a:graphicData>
            </a:graphic>
          </wp:inline>
        </w:drawing>
      </w:r>
    </w:p>
    <w:p>
      <w:pPr>
        <w:spacing w:after="200" w:before="80"/>
        <w:jc w:val="center"/>
      </w:pPr>
      <w:r>
        <w:rPr>
          <w:rFonts w:ascii="Calibri" w:cs="Calibri" w:eastAsia="Calibri" w:hAnsi="Calibri"/>
          <w:i/>
          <w:iCs/>
          <w:color w:val="595959"/>
          <w:sz w:val="19"/>
          <w:szCs w:val="19"/>
        </w:rPr>
        <w:t xml:space="preserve">Figure 4: Coalesce enabled on the Employee ID field map (sample illustration)</w:t>
      </w:r>
    </w:p>
    <w:p>
      <w:pPr>
        <w:pStyle w:val="Heading2"/>
        <w:spacing w:after="100" w:before="200"/>
      </w:pPr>
      <w:r>
        <w:rPr>
          <w:rFonts w:ascii="Calibri" w:cs="Calibri" w:eastAsia="Calibri" w:hAnsi="Calibri"/>
          <w:b/>
          <w:bCs/>
          <w:color w:val="2E5597"/>
          <w:sz w:val="24"/>
          <w:szCs w:val="24"/>
        </w:rPr>
        <w:t xml:space="preserve">Step 5: Review results</w:t>
      </w:r>
    </w:p>
    <w:p>
      <w:pPr>
        <w:spacing w:after="120" w:line="300"/>
      </w:pPr>
      <w:r>
        <w:rPr>
          <w:rFonts w:ascii="Calibri" w:cs="Calibri" w:eastAsia="Calibri" w:hAnsi="Calibri"/>
          <w:sz w:val="22"/>
          <w:szCs w:val="22"/>
        </w:rPr>
        <w:t xml:space="preserve">Each row is marked as inserted, updated, ignored, or error. The Import Set Rows and Transform History are reviewed to confirm the import worked as expected.</w:t>
      </w:r>
    </w:p>
    <w:p>
      <w:pPr>
        <w:keepNext/>
        <w:spacing w:after="0" w:before="120"/>
        <w:jc w:val="center"/>
      </w:pPr>
      <w:r>
        <w:drawing>
          <wp:inline distT="0" distB="0" distL="0" distR="0">
            <wp:extent cx="5715000" cy="2857500"/>
            <wp:effectExtent t="0" r="0" b="0" l="0"/>
            <wp:docPr id="1" name="figure5" descr="Transform History / Import Set Rows showing the results" title="Transform History / Import Set Rows showing th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57500"/>
                    </a:xfrm>
                    <a:prstGeom prst="rect">
                      <a:avLst/>
                    </a:prstGeom>
                  </pic:spPr>
                </pic:pic>
              </a:graphicData>
            </a:graphic>
          </wp:inline>
        </w:drawing>
      </w:r>
    </w:p>
    <w:p>
      <w:pPr>
        <w:spacing w:after="200" w:before="80"/>
        <w:jc w:val="center"/>
      </w:pPr>
      <w:r>
        <w:rPr>
          <w:rFonts w:ascii="Calibri" w:cs="Calibri" w:eastAsia="Calibri" w:hAnsi="Calibri"/>
          <w:i/>
          <w:iCs/>
          <w:color w:val="595959"/>
          <w:sz w:val="19"/>
          <w:szCs w:val="19"/>
        </w:rPr>
        <w:t xml:space="preserve">Figure 5: Import results in Transform History (sample illustration)</w:t>
      </w:r>
    </w:p>
    <w:p>
      <w:pPr>
        <w:pStyle w:val="Heading1"/>
        <w:spacing w:after="120" w:before="280"/>
      </w:pPr>
      <w:r>
        <w:rPr>
          <w:rFonts w:ascii="Calibri" w:cs="Calibri" w:eastAsia="Calibri" w:hAnsi="Calibri"/>
          <w:b/>
          <w:bCs/>
          <w:color w:val="1F3864"/>
          <w:sz w:val="30"/>
          <w:szCs w:val="30"/>
        </w:rPr>
        <w:t xml:space="preserve">5. Data Validation Considerations</w:t>
      </w:r>
    </w:p>
    <w:p>
      <w:pPr>
        <w:pStyle w:val="ListParagraph"/>
        <w:numPr>
          <w:ilvl w:val="0"/>
          <w:numId w:val="2"/>
        </w:numPr>
        <w:spacing w:after="80" w:line="290"/>
      </w:pPr>
      <w:r>
        <w:rPr>
          <w:rFonts w:ascii="Calibri" w:cs="Calibri" w:eastAsia="Calibri" w:hAnsi="Calibri"/>
          <w:b/>
          <w:bCs/>
          <w:sz w:val="22"/>
          <w:szCs w:val="22"/>
        </w:rPr>
        <w:t xml:space="preserve">Employee ID: </w:t>
      </w:r>
      <w:r>
        <w:rPr>
          <w:rFonts w:ascii="Calibri" w:cs="Calibri" w:eastAsia="Calibri" w:hAnsi="Calibri"/>
          <w:sz w:val="22"/>
          <w:szCs w:val="22"/>
        </w:rPr>
        <w:t xml:space="preserve">must be present, unique, and consistently formatted (no trailing spaces, no leading zeros lost in Excel), since it drives the coalesce logic.</w:t>
      </w:r>
    </w:p>
    <w:p>
      <w:pPr>
        <w:pStyle w:val="ListParagraph"/>
        <w:numPr>
          <w:ilvl w:val="0"/>
          <w:numId w:val="2"/>
        </w:numPr>
        <w:spacing w:after="80" w:line="290"/>
      </w:pPr>
      <w:r>
        <w:rPr>
          <w:rFonts w:ascii="Calibri" w:cs="Calibri" w:eastAsia="Calibri" w:hAnsi="Calibri"/>
          <w:b/>
          <w:bCs/>
          <w:sz w:val="22"/>
          <w:szCs w:val="22"/>
        </w:rPr>
        <w:t xml:space="preserve">Department and Location: </w:t>
      </w:r>
      <w:r>
        <w:rPr>
          <w:rFonts w:ascii="Calibri" w:cs="Calibri" w:eastAsia="Calibri" w:hAnsi="Calibri"/>
          <w:sz w:val="22"/>
          <w:szCs w:val="22"/>
        </w:rPr>
        <w:t xml:space="preserve">these are usually reference fields, so the values must match existing records, or be created or resolved during the transform.</w:t>
      </w:r>
    </w:p>
    <w:p>
      <w:pPr>
        <w:pStyle w:val="ListParagraph"/>
        <w:numPr>
          <w:ilvl w:val="0"/>
          <w:numId w:val="2"/>
        </w:numPr>
        <w:spacing w:after="80" w:line="290"/>
      </w:pPr>
      <w:r>
        <w:rPr>
          <w:rFonts w:ascii="Calibri" w:cs="Calibri" w:eastAsia="Calibri" w:hAnsi="Calibri"/>
          <w:b/>
          <w:bCs/>
          <w:sz w:val="22"/>
          <w:szCs w:val="22"/>
        </w:rPr>
        <w:t xml:space="preserve">Email: </w:t>
      </w:r>
      <w:r>
        <w:rPr>
          <w:rFonts w:ascii="Calibri" w:cs="Calibri" w:eastAsia="Calibri" w:hAnsi="Calibri"/>
          <w:sz w:val="22"/>
          <w:szCs w:val="22"/>
        </w:rPr>
        <w:t xml:space="preserve">should be checked for valid format and can be normalized to lowercase in a transform script.</w:t>
      </w:r>
    </w:p>
    <w:p>
      <w:pPr>
        <w:pStyle w:val="ListParagraph"/>
        <w:numPr>
          <w:ilvl w:val="0"/>
          <w:numId w:val="2"/>
        </w:numPr>
        <w:spacing w:after="80" w:line="290"/>
      </w:pPr>
      <w:r>
        <w:rPr>
          <w:rFonts w:ascii="Calibri" w:cs="Calibri" w:eastAsia="Calibri" w:hAnsi="Calibri"/>
          <w:b/>
          <w:bCs/>
          <w:sz w:val="22"/>
          <w:szCs w:val="22"/>
        </w:rPr>
        <w:t xml:space="preserve">Testing: </w:t>
      </w:r>
      <w:r>
        <w:rPr>
          <w:rFonts w:ascii="Calibri" w:cs="Calibri" w:eastAsia="Calibri" w:hAnsi="Calibri"/>
          <w:sz w:val="22"/>
          <w:szCs w:val="22"/>
        </w:rPr>
        <w:t xml:space="preserve">a small sample file should be imported before the full dataset.</w:t>
      </w:r>
    </w:p>
    <w:p>
      <w:pPr>
        <w:pStyle w:val="Heading1"/>
        <w:spacing w:after="120" w:before="280"/>
      </w:pPr>
      <w:r>
        <w:rPr>
          <w:rFonts w:ascii="Calibri" w:cs="Calibri" w:eastAsia="Calibri" w:hAnsi="Calibri"/>
          <w:b/>
          <w:bCs/>
          <w:color w:val="1F3864"/>
          <w:sz w:val="30"/>
          <w:szCs w:val="30"/>
        </w:rPr>
        <w:t xml:space="preserve">6. Advantages</w:t>
      </w:r>
    </w:p>
    <w:p>
      <w:pPr>
        <w:pStyle w:val="ListParagraph"/>
        <w:numPr>
          <w:ilvl w:val="0"/>
          <w:numId w:val="2"/>
        </w:numPr>
        <w:spacing w:after="80" w:line="290"/>
      </w:pPr>
      <w:r>
        <w:rPr>
          <w:rFonts w:ascii="Calibri" w:cs="Calibri" w:eastAsia="Calibri" w:hAnsi="Calibri"/>
          <w:sz w:val="22"/>
          <w:szCs w:val="22"/>
        </w:rPr>
        <w:t xml:space="preserve">Bulk import of employee data reduces manual effort and entry errors.</w:t>
      </w:r>
    </w:p>
    <w:p>
      <w:pPr>
        <w:pStyle w:val="ListParagraph"/>
        <w:numPr>
          <w:ilvl w:val="0"/>
          <w:numId w:val="2"/>
        </w:numPr>
        <w:spacing w:after="80" w:line="290"/>
      </w:pPr>
      <w:r>
        <w:rPr>
          <w:rFonts w:ascii="Calibri" w:cs="Calibri" w:eastAsia="Calibri" w:hAnsi="Calibri"/>
          <w:sz w:val="22"/>
          <w:szCs w:val="22"/>
        </w:rPr>
        <w:t xml:space="preserve">The staging table allows data to be checked before it affects live records.</w:t>
      </w:r>
    </w:p>
    <w:p>
      <w:pPr>
        <w:pStyle w:val="ListParagraph"/>
        <w:numPr>
          <w:ilvl w:val="0"/>
          <w:numId w:val="2"/>
        </w:numPr>
        <w:spacing w:after="80" w:line="290"/>
      </w:pPr>
      <w:r>
        <w:rPr>
          <w:rFonts w:ascii="Calibri" w:cs="Calibri" w:eastAsia="Calibri" w:hAnsi="Calibri"/>
          <w:sz w:val="22"/>
          <w:szCs w:val="22"/>
        </w:rPr>
        <w:t xml:space="preserve">Coalesce on Employee ID prevents duplicates and supports updates.</w:t>
      </w:r>
    </w:p>
    <w:p>
      <w:pPr>
        <w:pStyle w:val="ListParagraph"/>
        <w:numPr>
          <w:ilvl w:val="0"/>
          <w:numId w:val="2"/>
        </w:numPr>
        <w:spacing w:after="80" w:line="290"/>
      </w:pPr>
      <w:r>
        <w:rPr>
          <w:rFonts w:ascii="Calibri" w:cs="Calibri" w:eastAsia="Calibri" w:hAnsi="Calibri"/>
          <w:sz w:val="22"/>
          <w:szCs w:val="22"/>
        </w:rPr>
        <w:t xml:space="preserve">The process is repeatable for future employee data loads.</w:t>
      </w:r>
    </w:p>
    <w:p>
      <w:pPr>
        <w:pStyle w:val="Heading1"/>
        <w:spacing w:after="120" w:before="280"/>
      </w:pPr>
      <w:r>
        <w:rPr>
          <w:rFonts w:ascii="Calibri" w:cs="Calibri" w:eastAsia="Calibri" w:hAnsi="Calibri"/>
          <w:b/>
          <w:bCs/>
          <w:color w:val="1F3864"/>
          <w:sz w:val="30"/>
          <w:szCs w:val="30"/>
        </w:rPr>
        <w:t xml:space="preserve">7. Conclusion</w:t>
      </w:r>
    </w:p>
    <w:p>
      <w:pPr>
        <w:spacing w:after="120" w:line="300"/>
      </w:pPr>
      <w:r>
        <w:rPr>
          <w:rFonts w:ascii="Calibri" w:cs="Calibri" w:eastAsia="Calibri" w:hAnsi="Calibri"/>
          <w:sz w:val="22"/>
          <w:szCs w:val="22"/>
        </w:rPr>
        <w:t xml:space="preserve">Import Sets and Transform Maps give ServiceNow a controlled way to bring spreadsheet data into the Employee table. The Import Set Table handles temporary storage and validation, the Transform Map handles field mapping, and coalescing on Employee ID makes sure existing employees are updated while new ones are added.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ea14eec70927c8333fda89d76e6a5fc498223f2.png"/><Relationship Id="rId9" Type="http://schemas.openxmlformats.org/officeDocument/2006/relationships/image" Target="media/4b18130160cf16bbeff5731ed11f600635459a2f.png"/><Relationship Id="rId10" Type="http://schemas.openxmlformats.org/officeDocument/2006/relationships/image" Target="media/ee4dca605ff33dc742eaef771e71d7af11b4d510.png"/><Relationship Id="rId11" Type="http://schemas.openxmlformats.org/officeDocument/2006/relationships/image" Target="media/b835819f16ef6e2ebd0867c7967f6f3e8c8ed448.png"/><Relationship Id="rId12" Type="http://schemas.openxmlformats.org/officeDocument/2006/relationships/image" Target="media/0f7d5020feab578c856d6472af87ed5799ce861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2026-09-24T08:16:21.420Z</dcterms:created>
  <dcterms:modified xsi:type="dcterms:W3CDTF">2026-09-24T08:16:21.429Z</dcterms:modified>
</cp:coreProperties>
</file>

<file path=docProps/custom.xml><?xml version="1.0" encoding="utf-8"?>
<Properties xmlns="http://schemas.openxmlformats.org/officeDocument/2006/custom-properties" xmlns:vt="http://schemas.openxmlformats.org/officeDocument/2006/docPropsVTypes"/>
</file>