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E6940" w14:textId="77777777" w:rsidR="00C9577E" w:rsidRDefault="00C9577E">
      <w:pPr>
        <w:spacing w:after="200"/>
      </w:pPr>
    </w:p>
    <w:p w14:paraId="3DD89BC9" w14:textId="77777777" w:rsidR="00C9577E" w:rsidRDefault="00000000">
      <w:pPr>
        <w:shd w:val="clear" w:color="auto" w:fill="0A1628"/>
        <w:spacing w:before="200" w:after="200"/>
        <w:ind w:left="200" w:right="200"/>
        <w:jc w:val="center"/>
      </w:pPr>
      <w:r>
        <w:rPr>
          <w:b/>
          <w:bCs/>
          <w:color w:val="FFFFFF"/>
          <w:sz w:val="36"/>
          <w:szCs w:val="36"/>
        </w:rPr>
        <w:t>DWD Seasonal Ensemble Forecast</w:t>
      </w:r>
    </w:p>
    <w:p w14:paraId="39DD3833" w14:textId="77777777" w:rsidR="00C9577E" w:rsidRDefault="00000000">
      <w:pPr>
        <w:spacing w:before="200" w:after="80"/>
        <w:jc w:val="center"/>
      </w:pPr>
      <w:r>
        <w:rPr>
          <w:b/>
          <w:bCs/>
          <w:color w:val="0A7B74"/>
          <w:sz w:val="26"/>
          <w:szCs w:val="26"/>
        </w:rPr>
        <w:t>Investigations into the DWD Seasonal Ensemble Forecast for the Weser River Basin — Flood 2023</w:t>
      </w:r>
    </w:p>
    <w:p w14:paraId="76C1CF9F" w14:textId="77777777" w:rsidR="00C9577E" w:rsidRDefault="00000000">
      <w:pPr>
        <w:spacing w:after="240"/>
        <w:jc w:val="center"/>
      </w:pPr>
      <w:r>
        <w:rPr>
          <w:i/>
          <w:iCs/>
          <w:color w:val="555555"/>
          <w:sz w:val="20"/>
          <w:szCs w:val="20"/>
        </w:rPr>
        <w:t>M.Sc. Research Project  |  Hydrological Extremes Module  |  Institut für Hydrologie und Wasserwirtschaft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6554"/>
      </w:tblGrid>
      <w:tr w:rsidR="00C9577E" w14:paraId="0615A931" w14:textId="77777777">
        <w:tc>
          <w:tcPr>
            <w:tcW w:w="3084"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0446F177" w14:textId="77777777" w:rsidR="00C9577E" w:rsidRDefault="00000000">
            <w:r>
              <w:rPr>
                <w:b/>
                <w:bCs/>
                <w:color w:val="0A1628"/>
                <w:sz w:val="20"/>
                <w:szCs w:val="20"/>
              </w:rPr>
              <w:t>Institution</w:t>
            </w:r>
          </w:p>
        </w:tc>
        <w:tc>
          <w:tcPr>
            <w:tcW w:w="65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A0885" w14:textId="77777777" w:rsidR="00C9577E" w:rsidRDefault="00000000">
            <w:r>
              <w:rPr>
                <w:color w:val="2C2C2C"/>
                <w:sz w:val="20"/>
                <w:szCs w:val="20"/>
              </w:rPr>
              <w:t>Institut für Hydrologie und Wasserwirtschaft, Leibniz Universität Hannover</w:t>
            </w:r>
          </w:p>
        </w:tc>
      </w:tr>
      <w:tr w:rsidR="00C9577E" w14:paraId="4477C986" w14:textId="77777777">
        <w:tc>
          <w:tcPr>
            <w:tcW w:w="3084"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8086C3C" w14:textId="77777777" w:rsidR="00C9577E" w:rsidRDefault="00000000">
            <w:r>
              <w:rPr>
                <w:b/>
                <w:bCs/>
                <w:color w:val="0A1628"/>
                <w:sz w:val="20"/>
                <w:szCs w:val="20"/>
              </w:rPr>
              <w:t>Course / Module</w:t>
            </w:r>
          </w:p>
        </w:tc>
        <w:tc>
          <w:tcPr>
            <w:tcW w:w="6554" w:type="dxa"/>
            <w:tcBorders>
              <w:top w:val="single" w:sz="1" w:space="0" w:color="CCCCCC"/>
              <w:left w:val="single" w:sz="1" w:space="0" w:color="CCCCCC"/>
              <w:bottom w:val="single" w:sz="1" w:space="0" w:color="CCCCCC"/>
              <w:right w:val="single" w:sz="1" w:space="0" w:color="CCCCCC"/>
            </w:tcBorders>
            <w:shd w:val="clear" w:color="auto" w:fill="FAFCFF"/>
            <w:tcMar>
              <w:top w:w="80" w:type="dxa"/>
              <w:left w:w="120" w:type="dxa"/>
              <w:bottom w:w="80" w:type="dxa"/>
              <w:right w:w="120" w:type="dxa"/>
            </w:tcMar>
          </w:tcPr>
          <w:p w14:paraId="462CEC73" w14:textId="77777777" w:rsidR="00C9577E" w:rsidRDefault="00000000">
            <w:r>
              <w:rPr>
                <w:color w:val="2C2C2C"/>
                <w:sz w:val="20"/>
                <w:szCs w:val="20"/>
              </w:rPr>
              <w:t>Hydrological Extremes — Seminar Research Project</w:t>
            </w:r>
          </w:p>
        </w:tc>
      </w:tr>
      <w:tr w:rsidR="00C9577E" w14:paraId="114FEDCA" w14:textId="77777777">
        <w:tc>
          <w:tcPr>
            <w:tcW w:w="3084"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427AFA0A" w14:textId="77777777" w:rsidR="00C9577E" w:rsidRDefault="00000000">
            <w:r>
              <w:rPr>
                <w:b/>
                <w:bCs/>
                <w:color w:val="0A1628"/>
                <w:sz w:val="20"/>
                <w:szCs w:val="20"/>
              </w:rPr>
              <w:t>Submission Date</w:t>
            </w:r>
          </w:p>
        </w:tc>
        <w:tc>
          <w:tcPr>
            <w:tcW w:w="65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71BBE" w14:textId="77777777" w:rsidR="00C9577E" w:rsidRDefault="00000000">
            <w:r>
              <w:rPr>
                <w:color w:val="2C2C2C"/>
                <w:sz w:val="20"/>
                <w:szCs w:val="20"/>
              </w:rPr>
              <w:t>October 2024</w:t>
            </w:r>
          </w:p>
        </w:tc>
      </w:tr>
      <w:tr w:rsidR="00C9577E" w14:paraId="1B9E484B" w14:textId="77777777">
        <w:tc>
          <w:tcPr>
            <w:tcW w:w="3084"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26226D7" w14:textId="77777777" w:rsidR="00C9577E" w:rsidRDefault="00000000">
            <w:r>
              <w:rPr>
                <w:b/>
                <w:bCs/>
                <w:color w:val="0A1628"/>
                <w:sz w:val="20"/>
                <w:szCs w:val="20"/>
              </w:rPr>
              <w:t>Supervisor</w:t>
            </w:r>
          </w:p>
        </w:tc>
        <w:tc>
          <w:tcPr>
            <w:tcW w:w="6554" w:type="dxa"/>
            <w:tcBorders>
              <w:top w:val="single" w:sz="1" w:space="0" w:color="CCCCCC"/>
              <w:left w:val="single" w:sz="1" w:space="0" w:color="CCCCCC"/>
              <w:bottom w:val="single" w:sz="1" w:space="0" w:color="CCCCCC"/>
              <w:right w:val="single" w:sz="1" w:space="0" w:color="CCCCCC"/>
            </w:tcBorders>
            <w:shd w:val="clear" w:color="auto" w:fill="FAFCFF"/>
            <w:tcMar>
              <w:top w:w="80" w:type="dxa"/>
              <w:left w:w="120" w:type="dxa"/>
              <w:bottom w:w="80" w:type="dxa"/>
              <w:right w:w="120" w:type="dxa"/>
            </w:tcMar>
          </w:tcPr>
          <w:p w14:paraId="4A78E963" w14:textId="77777777" w:rsidR="00C9577E" w:rsidRDefault="00000000">
            <w:r>
              <w:rPr>
                <w:color w:val="2C2C2C"/>
                <w:sz w:val="20"/>
                <w:szCs w:val="20"/>
              </w:rPr>
              <w:t>Zoë Bovermann, M.Sc.</w:t>
            </w:r>
          </w:p>
        </w:tc>
      </w:tr>
      <w:tr w:rsidR="00C9577E" w14:paraId="798781C2" w14:textId="77777777">
        <w:tc>
          <w:tcPr>
            <w:tcW w:w="3084"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22482A1B" w14:textId="77777777" w:rsidR="00C9577E" w:rsidRDefault="00000000">
            <w:r>
              <w:rPr>
                <w:b/>
                <w:bCs/>
                <w:color w:val="0A1628"/>
                <w:sz w:val="20"/>
                <w:szCs w:val="20"/>
              </w:rPr>
              <w:t>Tools &amp; Software</w:t>
            </w:r>
          </w:p>
        </w:tc>
        <w:tc>
          <w:tcPr>
            <w:tcW w:w="65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424E0" w14:textId="77777777" w:rsidR="00C9577E" w:rsidRDefault="00000000">
            <w:r>
              <w:rPr>
                <w:color w:val="2C2C2C"/>
                <w:sz w:val="20"/>
                <w:szCs w:val="20"/>
              </w:rPr>
              <w:t>Python (GeoPandas, Matplotlib, Shapely, Wetterdienst), ArcGIS Pro, Microsoft Excel</w:t>
            </w:r>
          </w:p>
        </w:tc>
      </w:tr>
      <w:tr w:rsidR="00C9577E" w14:paraId="6FAD5691" w14:textId="77777777">
        <w:tc>
          <w:tcPr>
            <w:tcW w:w="3084"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E89EE41" w14:textId="77777777" w:rsidR="00C9577E" w:rsidRDefault="00000000">
            <w:r>
              <w:rPr>
                <w:b/>
                <w:bCs/>
                <w:color w:val="0A1628"/>
                <w:sz w:val="20"/>
                <w:szCs w:val="20"/>
              </w:rPr>
              <w:t>Data Sources</w:t>
            </w:r>
          </w:p>
        </w:tc>
        <w:tc>
          <w:tcPr>
            <w:tcW w:w="6554" w:type="dxa"/>
            <w:tcBorders>
              <w:top w:val="single" w:sz="1" w:space="0" w:color="CCCCCC"/>
              <w:left w:val="single" w:sz="1" w:space="0" w:color="CCCCCC"/>
              <w:bottom w:val="single" w:sz="1" w:space="0" w:color="CCCCCC"/>
              <w:right w:val="single" w:sz="1" w:space="0" w:color="CCCCCC"/>
            </w:tcBorders>
            <w:shd w:val="clear" w:color="auto" w:fill="FAFCFF"/>
            <w:tcMar>
              <w:top w:w="80" w:type="dxa"/>
              <w:left w:w="120" w:type="dxa"/>
              <w:bottom w:w="80" w:type="dxa"/>
              <w:right w:w="120" w:type="dxa"/>
            </w:tcMar>
          </w:tcPr>
          <w:p w14:paraId="6C861A56" w14:textId="77777777" w:rsidR="00C9577E" w:rsidRDefault="00000000">
            <w:r>
              <w:rPr>
                <w:color w:val="2C2C2C"/>
                <w:sz w:val="20"/>
                <w:szCs w:val="20"/>
              </w:rPr>
              <w:t>DWD Episodes (ICON-ALO, 50 EM), DWD Rain Gauge Network (Wetterdienst library)</w:t>
            </w:r>
          </w:p>
        </w:tc>
      </w:tr>
      <w:tr w:rsidR="00C9577E" w14:paraId="424F5D85" w14:textId="77777777">
        <w:tc>
          <w:tcPr>
            <w:tcW w:w="3084" w:type="dxa"/>
            <w:tcBorders>
              <w:top w:val="single" w:sz="1" w:space="0" w:color="CCCCCC"/>
              <w:left w:val="single" w:sz="1" w:space="0" w:color="CCCCCC"/>
              <w:bottom w:val="single" w:sz="1" w:space="0" w:color="CCCCCC"/>
              <w:right w:val="single" w:sz="1" w:space="0" w:color="CCCCCC"/>
            </w:tcBorders>
            <w:shd w:val="clear" w:color="auto" w:fill="E8EBF0"/>
            <w:tcMar>
              <w:top w:w="80" w:type="dxa"/>
              <w:left w:w="120" w:type="dxa"/>
              <w:bottom w:w="80" w:type="dxa"/>
              <w:right w:w="120" w:type="dxa"/>
            </w:tcMar>
          </w:tcPr>
          <w:p w14:paraId="67DEE64B" w14:textId="77777777" w:rsidR="00C9577E" w:rsidRDefault="00000000">
            <w:r>
              <w:rPr>
                <w:b/>
                <w:bCs/>
                <w:color w:val="0A1628"/>
                <w:sz w:val="20"/>
                <w:szCs w:val="20"/>
              </w:rPr>
              <w:t>Study Period</w:t>
            </w:r>
          </w:p>
        </w:tc>
        <w:tc>
          <w:tcPr>
            <w:tcW w:w="65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5C18E" w14:textId="77777777" w:rsidR="00C9577E" w:rsidRDefault="00000000">
            <w:r>
              <w:rPr>
                <w:color w:val="2C2C2C"/>
                <w:sz w:val="20"/>
                <w:szCs w:val="20"/>
              </w:rPr>
              <w:t>July 2023 – December 2023</w:t>
            </w:r>
          </w:p>
        </w:tc>
      </w:tr>
      <w:tr w:rsidR="00C9577E" w14:paraId="4F9873CF" w14:textId="77777777">
        <w:tc>
          <w:tcPr>
            <w:tcW w:w="3084"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9C397BF" w14:textId="77777777" w:rsidR="00C9577E" w:rsidRDefault="00000000">
            <w:r>
              <w:rPr>
                <w:b/>
                <w:bCs/>
                <w:color w:val="0A1628"/>
                <w:sz w:val="20"/>
                <w:szCs w:val="20"/>
              </w:rPr>
              <w:t>Study Area</w:t>
            </w:r>
          </w:p>
        </w:tc>
        <w:tc>
          <w:tcPr>
            <w:tcW w:w="6554" w:type="dxa"/>
            <w:tcBorders>
              <w:top w:val="single" w:sz="1" w:space="0" w:color="CCCCCC"/>
              <w:left w:val="single" w:sz="1" w:space="0" w:color="CCCCCC"/>
              <w:bottom w:val="single" w:sz="1" w:space="0" w:color="CCCCCC"/>
              <w:right w:val="single" w:sz="1" w:space="0" w:color="CCCCCC"/>
            </w:tcBorders>
            <w:shd w:val="clear" w:color="auto" w:fill="FAFCFF"/>
            <w:tcMar>
              <w:top w:w="80" w:type="dxa"/>
              <w:left w:w="120" w:type="dxa"/>
              <w:bottom w:w="80" w:type="dxa"/>
              <w:right w:w="120" w:type="dxa"/>
            </w:tcMar>
          </w:tcPr>
          <w:p w14:paraId="5FA171D2" w14:textId="77777777" w:rsidR="00C9577E" w:rsidRDefault="00000000">
            <w:r>
              <w:rPr>
                <w:color w:val="2C2C2C"/>
                <w:sz w:val="20"/>
                <w:szCs w:val="20"/>
              </w:rPr>
              <w:t>Weser River Basin, Northern Germany (47,394 km²)</w:t>
            </w:r>
          </w:p>
        </w:tc>
      </w:tr>
    </w:tbl>
    <w:p w14:paraId="269FA2F8" w14:textId="77777777" w:rsidR="00C9577E" w:rsidRDefault="00C9577E">
      <w:pPr>
        <w:spacing w:after="280"/>
      </w:pPr>
    </w:p>
    <w:p w14:paraId="553BC49B" w14:textId="77777777" w:rsidR="00C9577E" w:rsidRDefault="00000000">
      <w:pPr>
        <w:shd w:val="clear" w:color="auto" w:fill="0A7B74"/>
        <w:spacing w:before="320" w:after="160"/>
        <w:ind w:left="120" w:right="120"/>
      </w:pPr>
      <w:r>
        <w:rPr>
          <w:b/>
          <w:bCs/>
          <w:color w:val="FFFFFF"/>
          <w:sz w:val="24"/>
          <w:szCs w:val="24"/>
        </w:rPr>
        <w:t>1. PROJECT OVERVIEW</w:t>
      </w:r>
    </w:p>
    <w:p w14:paraId="70F25735" w14:textId="77777777" w:rsidR="00C9577E" w:rsidRDefault="00C9577E">
      <w:pPr>
        <w:spacing w:after="80"/>
      </w:pPr>
    </w:p>
    <w:p w14:paraId="1C08717C" w14:textId="77777777" w:rsidR="00C9577E" w:rsidRDefault="00000000">
      <w:pPr>
        <w:spacing w:before="80" w:after="80" w:line="300" w:lineRule="auto"/>
        <w:jc w:val="both"/>
      </w:pPr>
      <w:r>
        <w:rPr>
          <w:color w:val="2C2C2C"/>
        </w:rPr>
        <w:t>The winter of 2023/24 brought severe flooding to Northern Germany, with the Weser River Basin among the most heavily affected regions. This project investigates how well the Deutscher Wetterdienst (DWD) seasonal ensemble forecast system — specifically the ICON-ALO model generating 50 Ensemble Members (EM) — predicted the extreme precipitation that drove these floods.</w:t>
      </w:r>
    </w:p>
    <w:p w14:paraId="0AF664D0" w14:textId="77777777" w:rsidR="00C9577E" w:rsidRDefault="00C9577E">
      <w:pPr>
        <w:spacing w:after="60"/>
      </w:pPr>
    </w:p>
    <w:p w14:paraId="29862CF9" w14:textId="77777777" w:rsidR="00C9577E" w:rsidRDefault="00000000">
      <w:pPr>
        <w:spacing w:before="80" w:after="80" w:line="300" w:lineRule="auto"/>
        <w:jc w:val="both"/>
      </w:pPr>
      <w:r>
        <w:rPr>
          <w:color w:val="2C2C2C"/>
        </w:rPr>
        <w:t>The study spans the critical six-month window from July to December 2023, evaluating ensemble performance using four statistical skill metrics: Percentage Bias (PBias), Relative Standard Error (RSE), Mean Error (ME), and Correlation Coefficient (COR). A key research contribution is the evaluation of higher-percentile ensemble outputs (75th and 95th percentile) as early-warning tools for extreme rainfall events, demonstrating that the 95th percentile of the EM forecast was capable of signalling the December 2023 flood event up to 7 months in advance (Lead-6).</w:t>
      </w:r>
    </w:p>
    <w:p w14:paraId="1B7802C8" w14:textId="77777777" w:rsidR="00C9577E" w:rsidRDefault="00C9577E">
      <w:pPr>
        <w:spacing w:after="60"/>
      </w:pPr>
    </w:p>
    <w:p w14:paraId="660F8094" w14:textId="77777777" w:rsidR="00C9577E" w:rsidRDefault="00000000">
      <w:pPr>
        <w:spacing w:before="80" w:after="80" w:line="300" w:lineRule="auto"/>
        <w:jc w:val="both"/>
        <w:rPr>
          <w:color w:val="2C2C2C"/>
        </w:rPr>
      </w:pPr>
      <w:r>
        <w:rPr>
          <w:color w:val="2C2C2C"/>
        </w:rPr>
        <w:t>The Weser River Basin covers 47,394 km² and stretches from 50.35°N / 10.90°E in the south to 53.81°N / 8.62°E in the north, draining into the North Sea. Major cities including Hannover, Bremen, Kassel, and Bielefeld fall within the catchment. The basin's flat northern lowlands — where Hannover and Bremen are located — are particularly flood-prone.</w:t>
      </w:r>
    </w:p>
    <w:p w14:paraId="74C6D735" w14:textId="77777777" w:rsidR="005C6D42" w:rsidRDefault="005C6D42">
      <w:pPr>
        <w:spacing w:before="80" w:after="80" w:line="300" w:lineRule="auto"/>
        <w:jc w:val="both"/>
      </w:pPr>
    </w:p>
    <w:p w14:paraId="7BC4AA5E" w14:textId="77777777" w:rsidR="00C9577E" w:rsidRDefault="00C9577E">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9577E" w14:paraId="4E0D1774" w14:textId="77777777">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42C8DAF9" w14:textId="3CDED1CE" w:rsidR="00C9577E" w:rsidRDefault="005C6D42">
            <w:pPr>
              <w:jc w:val="center"/>
            </w:pPr>
            <w:r>
              <w:rPr>
                <w:b/>
                <w:bCs/>
                <w:color w:val="0A7B74"/>
              </w:rPr>
              <w:lastRenderedPageBreak/>
              <w:br/>
            </w:r>
            <w:r>
              <w:rPr>
                <w:noProof/>
              </w:rPr>
              <w:drawing>
                <wp:inline distT="0" distB="0" distL="0" distR="0" wp14:anchorId="4B23B064" wp14:editId="7EF80295">
                  <wp:extent cx="2317863" cy="3181350"/>
                  <wp:effectExtent l="0" t="0" r="6350" b="0"/>
                  <wp:docPr id="190481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54427" cy="3231535"/>
                          </a:xfrm>
                          <a:prstGeom prst="rect">
                            <a:avLst/>
                          </a:prstGeom>
                          <a:noFill/>
                          <a:ln>
                            <a:noFill/>
                          </a:ln>
                        </pic:spPr>
                      </pic:pic>
                    </a:graphicData>
                  </a:graphic>
                </wp:inline>
              </w:drawing>
            </w:r>
            <w:r>
              <w:rPr>
                <w:noProof/>
              </w:rPr>
              <w:drawing>
                <wp:inline distT="0" distB="0" distL="0" distR="0" wp14:anchorId="4BBD6F06" wp14:editId="3D59168A">
                  <wp:extent cx="2602865" cy="3379304"/>
                  <wp:effectExtent l="0" t="0" r="6985" b="0"/>
                  <wp:docPr id="133306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392" t="5790" r="4207" b="9552"/>
                          <a:stretch/>
                        </pic:blipFill>
                        <pic:spPr bwMode="auto">
                          <a:xfrm>
                            <a:off x="0" y="0"/>
                            <a:ext cx="2631291" cy="3416209"/>
                          </a:xfrm>
                          <a:prstGeom prst="rect">
                            <a:avLst/>
                          </a:prstGeom>
                          <a:noFill/>
                          <a:ln>
                            <a:noFill/>
                          </a:ln>
                          <a:extLst>
                            <a:ext uri="{53640926-AAD7-44D8-BBD7-CCE9431645EC}">
                              <a14:shadowObscured xmlns:a14="http://schemas.microsoft.com/office/drawing/2010/main"/>
                            </a:ext>
                          </a:extLst>
                        </pic:spPr>
                      </pic:pic>
                    </a:graphicData>
                  </a:graphic>
                </wp:inline>
              </w:drawing>
            </w:r>
            <w:r>
              <w:rPr>
                <w:b/>
                <w:bCs/>
                <w:color w:val="0A7B74"/>
              </w:rPr>
              <w:br/>
            </w:r>
            <w:r>
              <w:rPr>
                <w:b/>
                <w:bCs/>
                <w:color w:val="0A7B74"/>
              </w:rPr>
              <w:br/>
              <w:t>📷  Figure 1 — Study Area: Google Earth view and topographic map of the Weser River Basin</w:t>
            </w:r>
          </w:p>
          <w:p w14:paraId="2E8561FE" w14:textId="77777777" w:rsidR="00C9577E" w:rsidRDefault="00000000">
            <w:pPr>
              <w:spacing w:before="60"/>
              <w:jc w:val="center"/>
            </w:pPr>
            <w:r>
              <w:rPr>
                <w:i/>
                <w:iCs/>
                <w:color w:val="666666"/>
                <w:sz w:val="18"/>
                <w:szCs w:val="18"/>
              </w:rPr>
              <w:t>Source: 5_RP_Report.pdf — Page 9 (Figure 8: Google Map View + Topo Map side by side)</w:t>
            </w:r>
          </w:p>
        </w:tc>
      </w:tr>
    </w:tbl>
    <w:p w14:paraId="6749903C" w14:textId="77777777" w:rsidR="00C9577E" w:rsidRDefault="00C9577E">
      <w:pPr>
        <w:spacing w:after="160"/>
      </w:pPr>
    </w:p>
    <w:p w14:paraId="0C2F3880" w14:textId="77777777" w:rsidR="00C9577E" w:rsidRDefault="00000000">
      <w:pPr>
        <w:shd w:val="clear" w:color="auto" w:fill="0A7B74"/>
        <w:spacing w:before="320" w:after="160"/>
        <w:ind w:left="120" w:right="120"/>
      </w:pPr>
      <w:r>
        <w:rPr>
          <w:b/>
          <w:bCs/>
          <w:color w:val="FFFFFF"/>
          <w:sz w:val="24"/>
          <w:szCs w:val="24"/>
        </w:rPr>
        <w:t>2. OBJECTIVES</w:t>
      </w:r>
    </w:p>
    <w:p w14:paraId="0A972CCB" w14:textId="77777777" w:rsidR="00C9577E" w:rsidRDefault="00C9577E">
      <w:pPr>
        <w:spacing w:after="80"/>
      </w:pPr>
    </w:p>
    <w:p w14:paraId="649E1440" w14:textId="77777777" w:rsidR="00C9577E" w:rsidRDefault="00000000">
      <w:pPr>
        <w:spacing w:before="80" w:after="80" w:line="300" w:lineRule="auto"/>
        <w:jc w:val="both"/>
      </w:pPr>
      <w:r>
        <w:rPr>
          <w:color w:val="2C2C2C"/>
        </w:rPr>
        <w:t>The study was designed to answer four core research questions:</w:t>
      </w:r>
    </w:p>
    <w:p w14:paraId="1F7BD769" w14:textId="77777777" w:rsidR="00C9577E" w:rsidRDefault="00C9577E">
      <w:pPr>
        <w:spacing w:after="60"/>
      </w:pPr>
    </w:p>
    <w:p w14:paraId="6D0389CB" w14:textId="77777777" w:rsidR="00C9577E" w:rsidRDefault="00000000">
      <w:pPr>
        <w:pStyle w:val="ListParagraph"/>
        <w:numPr>
          <w:ilvl w:val="0"/>
          <w:numId w:val="2"/>
        </w:numPr>
        <w:spacing w:before="60" w:after="60"/>
      </w:pPr>
      <w:r>
        <w:rPr>
          <w:color w:val="2C2C2C"/>
        </w:rPr>
        <w:t>When did the Weser Basin conditions become hydrologically critical during 2023?</w:t>
      </w:r>
    </w:p>
    <w:p w14:paraId="3BCA28DB" w14:textId="77777777" w:rsidR="00C9577E" w:rsidRDefault="00000000">
      <w:pPr>
        <w:pStyle w:val="ListParagraph"/>
        <w:numPr>
          <w:ilvl w:val="0"/>
          <w:numId w:val="2"/>
        </w:numPr>
        <w:spacing w:before="60" w:after="60"/>
      </w:pPr>
      <w:r>
        <w:rPr>
          <w:color w:val="2C2C2C"/>
        </w:rPr>
        <w:t>How accurately did the 50 DWD ensemble members predict the actual extreme rainfall event?</w:t>
      </w:r>
    </w:p>
    <w:p w14:paraId="558E39FE" w14:textId="77777777" w:rsidR="00C9577E" w:rsidRDefault="00000000">
      <w:pPr>
        <w:pStyle w:val="ListParagraph"/>
        <w:numPr>
          <w:ilvl w:val="0"/>
          <w:numId w:val="2"/>
        </w:numPr>
        <w:spacing w:before="60" w:after="60"/>
      </w:pPr>
      <w:r>
        <w:rPr>
          <w:color w:val="2C2C2C"/>
        </w:rPr>
        <w:t>Are there individual ensemble members that consistently outperform the ensemble median in forecasting extreme conditions?</w:t>
      </w:r>
    </w:p>
    <w:p w14:paraId="4C539658" w14:textId="77777777" w:rsidR="00C9577E" w:rsidRDefault="00000000">
      <w:pPr>
        <w:pStyle w:val="ListParagraph"/>
        <w:numPr>
          <w:ilvl w:val="0"/>
          <w:numId w:val="2"/>
        </w:numPr>
        <w:spacing w:before="60" w:after="60"/>
      </w:pPr>
      <w:r>
        <w:rPr>
          <w:color w:val="2C2C2C"/>
        </w:rPr>
        <w:t>Is seasonal flood forecasting — specifically the DWD ICON-ALO system — a reliable and actionable tool for flood risk management and decision-making?</w:t>
      </w:r>
    </w:p>
    <w:p w14:paraId="3DBB9C57" w14:textId="77777777" w:rsidR="00C9577E" w:rsidRDefault="00C9577E">
      <w:pPr>
        <w:spacing w:after="160"/>
      </w:pPr>
    </w:p>
    <w:p w14:paraId="61697E6F" w14:textId="77777777" w:rsidR="00C9577E" w:rsidRDefault="00000000">
      <w:pPr>
        <w:shd w:val="clear" w:color="auto" w:fill="0A7B74"/>
        <w:spacing w:before="320" w:after="160"/>
        <w:ind w:left="120" w:right="120"/>
      </w:pPr>
      <w:r>
        <w:rPr>
          <w:b/>
          <w:bCs/>
          <w:color w:val="FFFFFF"/>
          <w:sz w:val="24"/>
          <w:szCs w:val="24"/>
        </w:rPr>
        <w:t>3. METHODOLOGY</w:t>
      </w:r>
    </w:p>
    <w:p w14:paraId="27245772" w14:textId="77777777" w:rsidR="00C9577E" w:rsidRDefault="00C9577E">
      <w:pPr>
        <w:spacing w:after="80"/>
      </w:pPr>
    </w:p>
    <w:p w14:paraId="383B7234" w14:textId="77777777" w:rsidR="00C9577E" w:rsidRDefault="00000000">
      <w:pPr>
        <w:spacing w:before="120" w:after="80"/>
      </w:pPr>
      <w:r>
        <w:rPr>
          <w:b/>
          <w:bCs/>
          <w:color w:val="0A1628"/>
          <w:sz w:val="23"/>
          <w:szCs w:val="23"/>
        </w:rPr>
        <w:t>3.1  Study Area and Data Collection</w:t>
      </w:r>
    </w:p>
    <w:p w14:paraId="5B98FACC" w14:textId="77777777" w:rsidR="00C9577E" w:rsidRDefault="00000000">
      <w:pPr>
        <w:spacing w:before="80" w:after="80" w:line="300" w:lineRule="auto"/>
        <w:jc w:val="both"/>
      </w:pPr>
      <w:r>
        <w:rPr>
          <w:color w:val="2C2C2C"/>
        </w:rPr>
        <w:t>Ensemble forecast data was obtained from DWD Episodes via the ICON-ALO model. Each of the 50 ensemble members provides daily precipitation height for 184 days at a spatial resolution of 0.05° × 0.05° (approximately 5 km × 5 km grid cells). Ensemble members for each of the six forecast-start months (July through December 2023) were downloaded in Excel format.</w:t>
      </w:r>
    </w:p>
    <w:p w14:paraId="16DA5002" w14:textId="77777777" w:rsidR="00C9577E" w:rsidRDefault="00C9577E">
      <w:pPr>
        <w:spacing w:after="60"/>
      </w:pPr>
    </w:p>
    <w:p w14:paraId="503C25C8" w14:textId="77777777" w:rsidR="00C9577E" w:rsidRDefault="00000000">
      <w:pPr>
        <w:spacing w:before="80" w:after="80" w:line="300" w:lineRule="auto"/>
        <w:jc w:val="both"/>
      </w:pPr>
      <w:r>
        <w:rPr>
          <w:color w:val="2C2C2C"/>
        </w:rPr>
        <w:lastRenderedPageBreak/>
        <w:t>Observed precipitation data was retrieved from 60 DWD rain gauge stations distributed across the Weser Basin using the Python Wetterdienst library, at daily resolution for the same six-month period.</w:t>
      </w:r>
    </w:p>
    <w:p w14:paraId="2E824751" w14:textId="77777777" w:rsidR="00C9577E" w:rsidRDefault="00C9577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9577E" w14:paraId="4154BF6C" w14:textId="77777777">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56F6CA36" w14:textId="012E9857" w:rsidR="00C9577E" w:rsidRDefault="005C6D42">
            <w:pPr>
              <w:jc w:val="center"/>
            </w:pPr>
            <w:r>
              <w:rPr>
                <w:noProof/>
              </w:rPr>
              <w:drawing>
                <wp:inline distT="0" distB="0" distL="0" distR="0" wp14:anchorId="6315C351" wp14:editId="54F2E0C7">
                  <wp:extent cx="2650783" cy="3307743"/>
                  <wp:effectExtent l="0" t="0" r="0" b="6985"/>
                  <wp:docPr id="259507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9369" t="19155" r="18826" b="17494"/>
                          <a:stretch/>
                        </pic:blipFill>
                        <pic:spPr bwMode="auto">
                          <a:xfrm>
                            <a:off x="0" y="0"/>
                            <a:ext cx="2662805" cy="332274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396E50B" wp14:editId="7EDDD3F9">
                  <wp:extent cx="2583705" cy="3283585"/>
                  <wp:effectExtent l="0" t="0" r="7620" b="0"/>
                  <wp:docPr id="5030927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0413" t="19738" r="20042" b="17772"/>
                          <a:stretch/>
                        </pic:blipFill>
                        <pic:spPr bwMode="auto">
                          <a:xfrm>
                            <a:off x="0" y="0"/>
                            <a:ext cx="2588857" cy="3290132"/>
                          </a:xfrm>
                          <a:prstGeom prst="rect">
                            <a:avLst/>
                          </a:prstGeom>
                          <a:noFill/>
                          <a:ln>
                            <a:noFill/>
                          </a:ln>
                          <a:extLst>
                            <a:ext uri="{53640926-AAD7-44D8-BBD7-CCE9431645EC}">
                              <a14:shadowObscured xmlns:a14="http://schemas.microsoft.com/office/drawing/2010/main"/>
                            </a:ext>
                          </a:extLst>
                        </pic:spPr>
                      </pic:pic>
                    </a:graphicData>
                  </a:graphic>
                </wp:inline>
              </w:drawing>
            </w:r>
            <w:r>
              <w:rPr>
                <w:b/>
                <w:bCs/>
                <w:color w:val="0A7B74"/>
              </w:rPr>
              <w:br/>
            </w:r>
            <w:r>
              <w:rPr>
                <w:b/>
                <w:bCs/>
                <w:color w:val="0A7B74"/>
              </w:rPr>
              <w:br/>
              <w:t>📷  Figure 2 — Data Collection: Ensemble Member grid points (5 km resolution) and observed rain gauge station locations across the Weser Basin</w:t>
            </w:r>
          </w:p>
          <w:p w14:paraId="54B86703" w14:textId="77777777" w:rsidR="00C9577E" w:rsidRDefault="00000000">
            <w:pPr>
              <w:spacing w:before="60"/>
              <w:jc w:val="center"/>
            </w:pPr>
            <w:r>
              <w:rPr>
                <w:i/>
                <w:iCs/>
                <w:color w:val="666666"/>
                <w:sz w:val="18"/>
                <w:szCs w:val="18"/>
              </w:rPr>
              <w:t>Source: 5_RP_Report.pdf — Page 10 (Figure 8a and 8b, side by side maps)</w:t>
            </w:r>
          </w:p>
        </w:tc>
      </w:tr>
    </w:tbl>
    <w:p w14:paraId="6B406A33" w14:textId="77777777" w:rsidR="00C9577E" w:rsidRDefault="00C9577E">
      <w:pPr>
        <w:spacing w:after="160"/>
      </w:pPr>
    </w:p>
    <w:p w14:paraId="213709CF" w14:textId="77777777" w:rsidR="00C9577E" w:rsidRDefault="00000000">
      <w:pPr>
        <w:spacing w:before="120" w:after="80"/>
      </w:pPr>
      <w:r>
        <w:rPr>
          <w:b/>
          <w:bCs/>
          <w:color w:val="0A1628"/>
          <w:sz w:val="23"/>
          <w:szCs w:val="23"/>
        </w:rPr>
        <w:t>3.2  Spatial Interpolation of Observed Data</w:t>
      </w:r>
    </w:p>
    <w:p w14:paraId="57801799" w14:textId="77777777" w:rsidR="00C9577E" w:rsidRDefault="00000000">
      <w:pPr>
        <w:spacing w:before="80" w:after="80" w:line="300" w:lineRule="auto"/>
        <w:jc w:val="both"/>
      </w:pPr>
      <w:r>
        <w:rPr>
          <w:color w:val="2C2C2C"/>
        </w:rPr>
        <w:t>Because the 60 rain gauge stations are sparsely distributed relative to the ensemble grid, Voronoi polygon interpolation (conceptually equivalent to Thiessen polygons) was applied to assign observed precipitation values to each ensemble grid point. This enabled direct, spatially consistent comparison between observed and modelled precipitation across the entire basin. The workflow used GeoPandas for spatial operations, Matplotlib for visualisation, and Shapely for geometric calculations.</w:t>
      </w:r>
    </w:p>
    <w:p w14:paraId="68163AC5" w14:textId="77777777" w:rsidR="00C9577E" w:rsidRDefault="00C9577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9577E" w14:paraId="4866199C" w14:textId="77777777">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7E7410F5" w14:textId="45BB95BE" w:rsidR="005C6D42" w:rsidRDefault="005C6D42">
            <w:pPr>
              <w:jc w:val="center"/>
              <w:rPr>
                <w:b/>
                <w:bCs/>
                <w:color w:val="0A7B74"/>
              </w:rPr>
            </w:pPr>
            <w:r>
              <w:rPr>
                <w:noProof/>
              </w:rPr>
              <w:lastRenderedPageBreak/>
              <w:drawing>
                <wp:inline distT="0" distB="0" distL="0" distR="0" wp14:anchorId="486C74E9" wp14:editId="03CDF527">
                  <wp:extent cx="2835438" cy="3307743"/>
                  <wp:effectExtent l="0" t="0" r="3175" b="6985"/>
                  <wp:docPr id="20292813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7914" t="15785" r="10143" b="16671"/>
                          <a:stretch/>
                        </pic:blipFill>
                        <pic:spPr bwMode="auto">
                          <a:xfrm>
                            <a:off x="0" y="0"/>
                            <a:ext cx="2857147" cy="3333068"/>
                          </a:xfrm>
                          <a:prstGeom prst="rect">
                            <a:avLst/>
                          </a:prstGeom>
                          <a:noFill/>
                          <a:ln>
                            <a:noFill/>
                          </a:ln>
                          <a:extLst>
                            <a:ext uri="{53640926-AAD7-44D8-BBD7-CCE9431645EC}">
                              <a14:shadowObscured xmlns:a14="http://schemas.microsoft.com/office/drawing/2010/main"/>
                            </a:ext>
                          </a:extLst>
                        </pic:spPr>
                      </pic:pic>
                    </a:graphicData>
                  </a:graphic>
                </wp:inline>
              </w:drawing>
            </w:r>
          </w:p>
          <w:p w14:paraId="37D990E0" w14:textId="5A40AE85" w:rsidR="00C9577E" w:rsidRDefault="00000000">
            <w:pPr>
              <w:jc w:val="center"/>
            </w:pPr>
            <w:r>
              <w:rPr>
                <w:b/>
                <w:bCs/>
                <w:color w:val="0A7B74"/>
              </w:rPr>
              <w:t>📷  Figure 3 — Spatial interpolation: Rain gauge data converted to EM grid coordinates using Voronoi polygons</w:t>
            </w:r>
          </w:p>
          <w:p w14:paraId="3097BE23" w14:textId="77777777" w:rsidR="00C9577E" w:rsidRDefault="00000000">
            <w:pPr>
              <w:spacing w:before="60"/>
              <w:jc w:val="center"/>
            </w:pPr>
            <w:r>
              <w:rPr>
                <w:i/>
                <w:iCs/>
                <w:color w:val="666666"/>
                <w:sz w:val="18"/>
                <w:szCs w:val="18"/>
              </w:rPr>
              <w:t>Source: 5_RP_Report.pdf — Page 13 (Figure 9) and 5_RP_Presentation.pdf — Page 7 (Slide 7, Fig.6)</w:t>
            </w:r>
          </w:p>
        </w:tc>
      </w:tr>
    </w:tbl>
    <w:p w14:paraId="0FF147CC" w14:textId="77777777" w:rsidR="00C9577E" w:rsidRDefault="00C9577E">
      <w:pPr>
        <w:spacing w:after="160"/>
      </w:pPr>
    </w:p>
    <w:p w14:paraId="365C1395" w14:textId="77777777" w:rsidR="00C9577E" w:rsidRDefault="00000000">
      <w:pPr>
        <w:spacing w:before="120" w:after="80"/>
      </w:pPr>
      <w:r>
        <w:rPr>
          <w:b/>
          <w:bCs/>
          <w:color w:val="0A1628"/>
          <w:sz w:val="23"/>
          <w:szCs w:val="23"/>
        </w:rPr>
        <w:t>3.3  Observed Precipitation Patterns (July – December 2023)</w:t>
      </w:r>
    </w:p>
    <w:p w14:paraId="056816FF" w14:textId="77777777" w:rsidR="00C9577E" w:rsidRDefault="00000000">
      <w:pPr>
        <w:spacing w:before="80" w:after="80" w:line="300" w:lineRule="auto"/>
        <w:jc w:val="both"/>
      </w:pPr>
      <w:r>
        <w:rPr>
          <w:color w:val="2C2C2C"/>
        </w:rPr>
        <w:t>Observed monthly precipitation data revealed a strongly non-uniform season. All months except September recorded well-above-average precipitation. December was the wettest month, with large parts of the catchment receiving 240–260 mm, compared to a long-term average of approximately 70 mm for Germany. September was anomalously dry, with Germany recording only 32 mm versus a long-term average of 61 mm, and the Weser Basin recording 40 mm.</w:t>
      </w:r>
    </w:p>
    <w:p w14:paraId="0546DC47" w14:textId="77777777" w:rsidR="00C9577E" w:rsidRDefault="00C9577E">
      <w:pPr>
        <w:spacing w:after="60"/>
      </w:pPr>
    </w:p>
    <w:p w14:paraId="0A7D46A5" w14:textId="77777777" w:rsidR="00C9577E" w:rsidRDefault="00000000">
      <w:pPr>
        <w:spacing w:before="80" w:after="80" w:line="300" w:lineRule="auto"/>
        <w:jc w:val="both"/>
      </w:pPr>
      <w:r>
        <w:rPr>
          <w:color w:val="2C2C2C"/>
        </w:rPr>
        <w:t>This bimodal pattern — a dry September embedded within an otherwise extremely wet second half of 2023 — posed a significant challenge for ensemble forecast skill evaluation, as the models were assessed during both average-to-low and extreme precipitation conditions.</w:t>
      </w:r>
    </w:p>
    <w:p w14:paraId="030BD9EC" w14:textId="77777777" w:rsidR="00C9577E" w:rsidRDefault="00C9577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9577E" w14:paraId="440EEFA3" w14:textId="77777777">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60EE8089" w14:textId="6073F50C" w:rsidR="005C6D42" w:rsidRDefault="00751B0C">
            <w:pPr>
              <w:jc w:val="center"/>
              <w:rPr>
                <w:b/>
                <w:bCs/>
                <w:color w:val="0A7B74"/>
              </w:rPr>
            </w:pPr>
            <w:r w:rsidRPr="00751B0C">
              <w:rPr>
                <w:b/>
                <w:bCs/>
                <w:noProof/>
                <w:color w:val="0A7B74"/>
              </w:rPr>
              <w:lastRenderedPageBreak/>
              <w:drawing>
                <wp:inline distT="0" distB="0" distL="0" distR="0" wp14:anchorId="5B8CB7AE" wp14:editId="406F84BF">
                  <wp:extent cx="5569236" cy="4197566"/>
                  <wp:effectExtent l="0" t="0" r="0" b="0"/>
                  <wp:docPr id="78579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96624" name=""/>
                          <pic:cNvPicPr/>
                        </pic:nvPicPr>
                        <pic:blipFill>
                          <a:blip r:embed="rId12"/>
                          <a:stretch>
                            <a:fillRect/>
                          </a:stretch>
                        </pic:blipFill>
                        <pic:spPr>
                          <a:xfrm>
                            <a:off x="0" y="0"/>
                            <a:ext cx="5569236" cy="4197566"/>
                          </a:xfrm>
                          <a:prstGeom prst="rect">
                            <a:avLst/>
                          </a:prstGeom>
                        </pic:spPr>
                      </pic:pic>
                    </a:graphicData>
                  </a:graphic>
                </wp:inline>
              </w:drawing>
            </w:r>
          </w:p>
          <w:p w14:paraId="78B3EC20" w14:textId="5C5C6DD6" w:rsidR="00C9577E" w:rsidRDefault="00000000">
            <w:pPr>
              <w:jc w:val="center"/>
            </w:pPr>
            <w:r>
              <w:rPr>
                <w:b/>
                <w:bCs/>
                <w:color w:val="0A7B74"/>
              </w:rPr>
              <w:t>📷  Figure 4 — Observed precipitation: Spatial distribution of monthly precipitation (mm) across the Weser Basin, July–December 2023</w:t>
            </w:r>
          </w:p>
          <w:p w14:paraId="29768D14" w14:textId="77777777" w:rsidR="00C9577E" w:rsidRDefault="00000000">
            <w:pPr>
              <w:spacing w:before="60"/>
              <w:jc w:val="center"/>
            </w:pPr>
            <w:r>
              <w:rPr>
                <w:i/>
                <w:iCs/>
                <w:color w:val="666666"/>
                <w:sz w:val="18"/>
                <w:szCs w:val="18"/>
              </w:rPr>
              <w:t>Source: 5_RP_Report.pdf — Page 14 (Figure 11: six monthly maps, July through December)</w:t>
            </w:r>
          </w:p>
        </w:tc>
      </w:tr>
    </w:tbl>
    <w:p w14:paraId="0C0C22F9" w14:textId="77777777" w:rsidR="00C9577E" w:rsidRDefault="00C9577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9577E" w14:paraId="30C7F601" w14:textId="77777777">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791A81DA" w14:textId="08F47E10" w:rsidR="005C6D42" w:rsidRDefault="005C6D42">
            <w:pPr>
              <w:jc w:val="center"/>
              <w:rPr>
                <w:b/>
                <w:bCs/>
                <w:color w:val="0A7B74"/>
              </w:rPr>
            </w:pPr>
            <w:r>
              <w:rPr>
                <w:rFonts w:ascii="Times New Roman" w:hAnsi="Times New Roman" w:cs="Times New Roman"/>
                <w:noProof/>
              </w:rPr>
              <w:drawing>
                <wp:inline distT="0" distB="0" distL="0" distR="0" wp14:anchorId="2694D4A6" wp14:editId="36AEBDEB">
                  <wp:extent cx="3877056" cy="2330530"/>
                  <wp:effectExtent l="0" t="0" r="9525" b="0"/>
                  <wp:docPr id="138783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84075" cy="2334749"/>
                          </a:xfrm>
                          <a:prstGeom prst="rect">
                            <a:avLst/>
                          </a:prstGeom>
                          <a:noFill/>
                        </pic:spPr>
                      </pic:pic>
                    </a:graphicData>
                  </a:graphic>
                </wp:inline>
              </w:drawing>
            </w:r>
          </w:p>
          <w:p w14:paraId="48A66D5E" w14:textId="48E0F4C2" w:rsidR="00C9577E" w:rsidRDefault="00000000">
            <w:pPr>
              <w:jc w:val="center"/>
            </w:pPr>
            <w:r>
              <w:rPr>
                <w:b/>
                <w:bCs/>
                <w:color w:val="0A7B74"/>
              </w:rPr>
              <w:t>📷  Figure 5 — Monthly average precipitation comparison: Germany 2023 vs. long-term average vs. Weser Basin 2023 (bar chart)</w:t>
            </w:r>
          </w:p>
          <w:p w14:paraId="33BE90DB" w14:textId="77777777" w:rsidR="00C9577E" w:rsidRDefault="00000000">
            <w:pPr>
              <w:spacing w:before="60"/>
              <w:jc w:val="center"/>
            </w:pPr>
            <w:r>
              <w:rPr>
                <w:i/>
                <w:iCs/>
                <w:color w:val="666666"/>
                <w:sz w:val="18"/>
                <w:szCs w:val="18"/>
              </w:rPr>
              <w:t>Source: 5_RP_Report.pdf — Page 14 (Figure 12) / 5_RP_Presentation.pdf — Page 3 (Slide 3, right chart)</w:t>
            </w:r>
          </w:p>
        </w:tc>
      </w:tr>
    </w:tbl>
    <w:p w14:paraId="0235530B" w14:textId="77777777" w:rsidR="00C9577E" w:rsidRDefault="00C9577E">
      <w:pPr>
        <w:spacing w:after="160"/>
      </w:pPr>
    </w:p>
    <w:p w14:paraId="52BF75D5" w14:textId="77777777" w:rsidR="00C9577E" w:rsidRDefault="00000000">
      <w:pPr>
        <w:spacing w:before="120" w:after="80"/>
      </w:pPr>
      <w:r>
        <w:rPr>
          <w:b/>
          <w:bCs/>
          <w:color w:val="0A1628"/>
          <w:sz w:val="23"/>
          <w:szCs w:val="23"/>
        </w:rPr>
        <w:t>3.4  Skill Metrics</w:t>
      </w:r>
    </w:p>
    <w:p w14:paraId="16184600" w14:textId="77777777" w:rsidR="00C9577E" w:rsidRDefault="00000000">
      <w:pPr>
        <w:spacing w:before="80" w:after="80" w:line="300" w:lineRule="auto"/>
        <w:jc w:val="both"/>
      </w:pPr>
      <w:r>
        <w:rPr>
          <w:color w:val="2C2C2C"/>
        </w:rPr>
        <w:t>Four statistical metrics were selected based on prior literature (Golian et al., 2015; Dinku et al., 2007; Dollan et al., 2024) for their complementary ability to capture different aspects of forecast error:</w:t>
      </w:r>
    </w:p>
    <w:p w14:paraId="3C421B68" w14:textId="77777777" w:rsidR="00C9577E" w:rsidRDefault="00C9577E">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2891"/>
        <w:gridCol w:w="1735"/>
        <w:gridCol w:w="2506"/>
      </w:tblGrid>
      <w:tr w:rsidR="00C9577E" w14:paraId="09BE3F7A" w14:textId="77777777">
        <w:tc>
          <w:tcPr>
            <w:tcW w:w="2506" w:type="dxa"/>
            <w:tcBorders>
              <w:top w:val="single" w:sz="1" w:space="0" w:color="CCCCCC"/>
              <w:left w:val="single" w:sz="1" w:space="0" w:color="CCCCCC"/>
              <w:bottom w:val="single" w:sz="1" w:space="0" w:color="CCCCCC"/>
              <w:right w:val="single" w:sz="1" w:space="0" w:color="CCCCCC"/>
            </w:tcBorders>
            <w:shd w:val="clear" w:color="auto" w:fill="0A1628"/>
            <w:tcMar>
              <w:top w:w="80" w:type="dxa"/>
              <w:left w:w="100" w:type="dxa"/>
              <w:bottom w:w="80" w:type="dxa"/>
              <w:right w:w="100" w:type="dxa"/>
            </w:tcMar>
          </w:tcPr>
          <w:p w14:paraId="4F224178" w14:textId="77777777" w:rsidR="00C9577E" w:rsidRDefault="00000000">
            <w:r>
              <w:rPr>
                <w:b/>
                <w:bCs/>
                <w:color w:val="FFFFFF"/>
                <w:sz w:val="20"/>
                <w:szCs w:val="20"/>
              </w:rPr>
              <w:t>Metric</w:t>
            </w:r>
          </w:p>
        </w:tc>
        <w:tc>
          <w:tcPr>
            <w:tcW w:w="2891" w:type="dxa"/>
            <w:tcBorders>
              <w:top w:val="single" w:sz="1" w:space="0" w:color="CCCCCC"/>
              <w:left w:val="single" w:sz="1" w:space="0" w:color="CCCCCC"/>
              <w:bottom w:val="single" w:sz="1" w:space="0" w:color="CCCCCC"/>
              <w:right w:val="single" w:sz="1" w:space="0" w:color="CCCCCC"/>
            </w:tcBorders>
            <w:shd w:val="clear" w:color="auto" w:fill="0A1628"/>
            <w:tcMar>
              <w:top w:w="80" w:type="dxa"/>
              <w:left w:w="100" w:type="dxa"/>
              <w:bottom w:w="80" w:type="dxa"/>
              <w:right w:w="100" w:type="dxa"/>
            </w:tcMar>
          </w:tcPr>
          <w:p w14:paraId="70366684" w14:textId="77777777" w:rsidR="00C9577E" w:rsidRDefault="00000000">
            <w:r>
              <w:rPr>
                <w:b/>
                <w:bCs/>
                <w:color w:val="FFFFFF"/>
                <w:sz w:val="20"/>
                <w:szCs w:val="20"/>
              </w:rPr>
              <w:t>Formula (abbreviated)</w:t>
            </w:r>
          </w:p>
        </w:tc>
        <w:tc>
          <w:tcPr>
            <w:tcW w:w="1735" w:type="dxa"/>
            <w:tcBorders>
              <w:top w:val="single" w:sz="1" w:space="0" w:color="CCCCCC"/>
              <w:left w:val="single" w:sz="1" w:space="0" w:color="CCCCCC"/>
              <w:bottom w:val="single" w:sz="1" w:space="0" w:color="CCCCCC"/>
              <w:right w:val="single" w:sz="1" w:space="0" w:color="CCCCCC"/>
            </w:tcBorders>
            <w:shd w:val="clear" w:color="auto" w:fill="0A1628"/>
            <w:tcMar>
              <w:top w:w="80" w:type="dxa"/>
              <w:left w:w="100" w:type="dxa"/>
              <w:bottom w:w="80" w:type="dxa"/>
              <w:right w:w="100" w:type="dxa"/>
            </w:tcMar>
          </w:tcPr>
          <w:p w14:paraId="7207D28E" w14:textId="77777777" w:rsidR="00C9577E" w:rsidRDefault="00000000">
            <w:r>
              <w:rPr>
                <w:b/>
                <w:bCs/>
                <w:color w:val="FFFFFF"/>
                <w:sz w:val="20"/>
                <w:szCs w:val="20"/>
              </w:rPr>
              <w:t>Range</w:t>
            </w:r>
          </w:p>
        </w:tc>
        <w:tc>
          <w:tcPr>
            <w:tcW w:w="2506" w:type="dxa"/>
            <w:tcBorders>
              <w:top w:val="single" w:sz="1" w:space="0" w:color="CCCCCC"/>
              <w:left w:val="single" w:sz="1" w:space="0" w:color="CCCCCC"/>
              <w:bottom w:val="single" w:sz="1" w:space="0" w:color="CCCCCC"/>
              <w:right w:val="single" w:sz="1" w:space="0" w:color="CCCCCC"/>
            </w:tcBorders>
            <w:shd w:val="clear" w:color="auto" w:fill="0A1628"/>
            <w:tcMar>
              <w:top w:w="80" w:type="dxa"/>
              <w:left w:w="100" w:type="dxa"/>
              <w:bottom w:w="80" w:type="dxa"/>
              <w:right w:w="100" w:type="dxa"/>
            </w:tcMar>
          </w:tcPr>
          <w:p w14:paraId="3125947D" w14:textId="77777777" w:rsidR="00C9577E" w:rsidRDefault="00000000">
            <w:r>
              <w:rPr>
                <w:b/>
                <w:bCs/>
                <w:color w:val="FFFFFF"/>
                <w:sz w:val="20"/>
                <w:szCs w:val="20"/>
              </w:rPr>
              <w:t>Ideal Value</w:t>
            </w:r>
          </w:p>
        </w:tc>
      </w:tr>
      <w:tr w:rsidR="00C9577E" w14:paraId="4C35AD70" w14:textId="77777777">
        <w:tc>
          <w:tcPr>
            <w:tcW w:w="2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295EA68" w14:textId="77777777" w:rsidR="00C9577E" w:rsidRDefault="00000000">
            <w:r>
              <w:rPr>
                <w:b/>
                <w:bCs/>
                <w:color w:val="2C2C2C"/>
                <w:sz w:val="20"/>
                <w:szCs w:val="20"/>
              </w:rPr>
              <w:t>Percentage Bias (PBias)</w:t>
            </w:r>
          </w:p>
        </w:tc>
        <w:tc>
          <w:tcPr>
            <w:tcW w:w="2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C4E95BD" w14:textId="77777777" w:rsidR="00C9577E" w:rsidRDefault="00000000">
            <w:r>
              <w:rPr>
                <w:color w:val="2C2C2C"/>
                <w:sz w:val="20"/>
                <w:szCs w:val="20"/>
              </w:rPr>
              <w:t>Mean of (Z* − Z) / Z</w:t>
            </w:r>
          </w:p>
        </w:tc>
        <w:tc>
          <w:tcPr>
            <w:tcW w:w="17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D33419" w14:textId="77777777" w:rsidR="00C9577E" w:rsidRDefault="00000000">
            <w:r>
              <w:rPr>
                <w:color w:val="2C2C2C"/>
                <w:sz w:val="20"/>
                <w:szCs w:val="20"/>
              </w:rPr>
              <w:t>−1 to +∞</w:t>
            </w:r>
          </w:p>
        </w:tc>
        <w:tc>
          <w:tcPr>
            <w:tcW w:w="2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A828504" w14:textId="77777777" w:rsidR="00C9577E" w:rsidRDefault="00000000">
            <w:r>
              <w:rPr>
                <w:color w:val="2C2C2C"/>
                <w:sz w:val="20"/>
                <w:szCs w:val="20"/>
              </w:rPr>
              <w:t>0</w:t>
            </w:r>
          </w:p>
        </w:tc>
      </w:tr>
      <w:tr w:rsidR="00C9577E" w14:paraId="1B6E0BFA" w14:textId="77777777">
        <w:tc>
          <w:tcPr>
            <w:tcW w:w="2506" w:type="dxa"/>
            <w:tcBorders>
              <w:top w:val="single" w:sz="1" w:space="0" w:color="CCCCCC"/>
              <w:left w:val="single" w:sz="1" w:space="0" w:color="CCCCCC"/>
              <w:bottom w:val="single" w:sz="1" w:space="0" w:color="CCCCCC"/>
              <w:right w:val="single" w:sz="1" w:space="0" w:color="CCCCCC"/>
            </w:tcBorders>
            <w:shd w:val="clear" w:color="auto" w:fill="E6F4F3"/>
            <w:tcMar>
              <w:top w:w="80" w:type="dxa"/>
              <w:left w:w="100" w:type="dxa"/>
              <w:bottom w:w="80" w:type="dxa"/>
              <w:right w:w="100" w:type="dxa"/>
            </w:tcMar>
          </w:tcPr>
          <w:p w14:paraId="424B8A5D" w14:textId="77777777" w:rsidR="00C9577E" w:rsidRDefault="00000000">
            <w:r>
              <w:rPr>
                <w:b/>
                <w:bCs/>
                <w:color w:val="2C2C2C"/>
                <w:sz w:val="20"/>
                <w:szCs w:val="20"/>
              </w:rPr>
              <w:t>Relative Standard Error (RSE)</w:t>
            </w:r>
          </w:p>
        </w:tc>
        <w:tc>
          <w:tcPr>
            <w:tcW w:w="2891" w:type="dxa"/>
            <w:tcBorders>
              <w:top w:val="single" w:sz="1" w:space="0" w:color="CCCCCC"/>
              <w:left w:val="single" w:sz="1" w:space="0" w:color="CCCCCC"/>
              <w:bottom w:val="single" w:sz="1" w:space="0" w:color="CCCCCC"/>
              <w:right w:val="single" w:sz="1" w:space="0" w:color="CCCCCC"/>
            </w:tcBorders>
            <w:shd w:val="clear" w:color="auto" w:fill="E6F4F3"/>
            <w:tcMar>
              <w:top w:w="80" w:type="dxa"/>
              <w:left w:w="100" w:type="dxa"/>
              <w:bottom w:w="80" w:type="dxa"/>
              <w:right w:w="100" w:type="dxa"/>
            </w:tcMar>
          </w:tcPr>
          <w:p w14:paraId="6707E21B" w14:textId="77777777" w:rsidR="00C9577E" w:rsidRDefault="00000000">
            <w:r>
              <w:rPr>
                <w:color w:val="2C2C2C"/>
                <w:sz w:val="20"/>
                <w:szCs w:val="20"/>
              </w:rPr>
              <w:t>√Σ(Z* − Z)² / Z̄</w:t>
            </w:r>
          </w:p>
        </w:tc>
        <w:tc>
          <w:tcPr>
            <w:tcW w:w="1735" w:type="dxa"/>
            <w:tcBorders>
              <w:top w:val="single" w:sz="1" w:space="0" w:color="CCCCCC"/>
              <w:left w:val="single" w:sz="1" w:space="0" w:color="CCCCCC"/>
              <w:bottom w:val="single" w:sz="1" w:space="0" w:color="CCCCCC"/>
              <w:right w:val="single" w:sz="1" w:space="0" w:color="CCCCCC"/>
            </w:tcBorders>
            <w:shd w:val="clear" w:color="auto" w:fill="E6F4F3"/>
            <w:tcMar>
              <w:top w:w="80" w:type="dxa"/>
              <w:left w:w="100" w:type="dxa"/>
              <w:bottom w:w="80" w:type="dxa"/>
              <w:right w:w="100" w:type="dxa"/>
            </w:tcMar>
          </w:tcPr>
          <w:p w14:paraId="347A1B39" w14:textId="77777777" w:rsidR="00C9577E" w:rsidRDefault="00000000">
            <w:r>
              <w:rPr>
                <w:color w:val="2C2C2C"/>
                <w:sz w:val="20"/>
                <w:szCs w:val="20"/>
              </w:rPr>
              <w:t>0 to +∞</w:t>
            </w:r>
          </w:p>
        </w:tc>
        <w:tc>
          <w:tcPr>
            <w:tcW w:w="2506" w:type="dxa"/>
            <w:tcBorders>
              <w:top w:val="single" w:sz="1" w:space="0" w:color="CCCCCC"/>
              <w:left w:val="single" w:sz="1" w:space="0" w:color="CCCCCC"/>
              <w:bottom w:val="single" w:sz="1" w:space="0" w:color="CCCCCC"/>
              <w:right w:val="single" w:sz="1" w:space="0" w:color="CCCCCC"/>
            </w:tcBorders>
            <w:shd w:val="clear" w:color="auto" w:fill="E6F4F3"/>
            <w:tcMar>
              <w:top w:w="80" w:type="dxa"/>
              <w:left w:w="100" w:type="dxa"/>
              <w:bottom w:w="80" w:type="dxa"/>
              <w:right w:w="100" w:type="dxa"/>
            </w:tcMar>
          </w:tcPr>
          <w:p w14:paraId="4B732562" w14:textId="77777777" w:rsidR="00C9577E" w:rsidRDefault="00000000">
            <w:r>
              <w:rPr>
                <w:color w:val="2C2C2C"/>
                <w:sz w:val="20"/>
                <w:szCs w:val="20"/>
              </w:rPr>
              <w:t>Near 0</w:t>
            </w:r>
          </w:p>
        </w:tc>
      </w:tr>
      <w:tr w:rsidR="00C9577E" w14:paraId="1D64B378" w14:textId="77777777">
        <w:tc>
          <w:tcPr>
            <w:tcW w:w="2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7CE3475" w14:textId="77777777" w:rsidR="00C9577E" w:rsidRDefault="00000000">
            <w:r>
              <w:rPr>
                <w:b/>
                <w:bCs/>
                <w:color w:val="2C2C2C"/>
                <w:sz w:val="20"/>
                <w:szCs w:val="20"/>
              </w:rPr>
              <w:t>Mean Error (ME)</w:t>
            </w:r>
          </w:p>
        </w:tc>
        <w:tc>
          <w:tcPr>
            <w:tcW w:w="28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CBF6702" w14:textId="77777777" w:rsidR="00C9577E" w:rsidRDefault="00000000">
            <w:r>
              <w:rPr>
                <w:color w:val="2C2C2C"/>
                <w:sz w:val="20"/>
                <w:szCs w:val="20"/>
              </w:rPr>
              <w:t>Mean of (Z* − Z)</w:t>
            </w:r>
          </w:p>
        </w:tc>
        <w:tc>
          <w:tcPr>
            <w:tcW w:w="17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5DFB742" w14:textId="77777777" w:rsidR="00C9577E" w:rsidRDefault="00000000">
            <w:r>
              <w:rPr>
                <w:color w:val="2C2C2C"/>
                <w:sz w:val="20"/>
                <w:szCs w:val="20"/>
              </w:rPr>
              <w:t>−∞ to +∞</w:t>
            </w:r>
          </w:p>
        </w:tc>
        <w:tc>
          <w:tcPr>
            <w:tcW w:w="2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2861872" w14:textId="77777777" w:rsidR="00C9577E" w:rsidRDefault="00000000">
            <w:r>
              <w:rPr>
                <w:color w:val="2C2C2C"/>
                <w:sz w:val="20"/>
                <w:szCs w:val="20"/>
              </w:rPr>
              <w:t>0</w:t>
            </w:r>
          </w:p>
        </w:tc>
      </w:tr>
      <w:tr w:rsidR="00C9577E" w14:paraId="53EDB08A" w14:textId="77777777">
        <w:tc>
          <w:tcPr>
            <w:tcW w:w="2506" w:type="dxa"/>
            <w:tcBorders>
              <w:top w:val="single" w:sz="1" w:space="0" w:color="CCCCCC"/>
              <w:left w:val="single" w:sz="1" w:space="0" w:color="CCCCCC"/>
              <w:bottom w:val="single" w:sz="1" w:space="0" w:color="CCCCCC"/>
              <w:right w:val="single" w:sz="1" w:space="0" w:color="CCCCCC"/>
            </w:tcBorders>
            <w:shd w:val="clear" w:color="auto" w:fill="E6F4F3"/>
            <w:tcMar>
              <w:top w:w="80" w:type="dxa"/>
              <w:left w:w="100" w:type="dxa"/>
              <w:bottom w:w="80" w:type="dxa"/>
              <w:right w:w="100" w:type="dxa"/>
            </w:tcMar>
          </w:tcPr>
          <w:p w14:paraId="3B45C55B" w14:textId="77777777" w:rsidR="00C9577E" w:rsidRDefault="00000000">
            <w:r>
              <w:rPr>
                <w:b/>
                <w:bCs/>
                <w:color w:val="2C2C2C"/>
                <w:sz w:val="20"/>
                <w:szCs w:val="20"/>
              </w:rPr>
              <w:t>Correlation Coefficient (COR)</w:t>
            </w:r>
          </w:p>
        </w:tc>
        <w:tc>
          <w:tcPr>
            <w:tcW w:w="2891" w:type="dxa"/>
            <w:tcBorders>
              <w:top w:val="single" w:sz="1" w:space="0" w:color="CCCCCC"/>
              <w:left w:val="single" w:sz="1" w:space="0" w:color="CCCCCC"/>
              <w:bottom w:val="single" w:sz="1" w:space="0" w:color="CCCCCC"/>
              <w:right w:val="single" w:sz="1" w:space="0" w:color="CCCCCC"/>
            </w:tcBorders>
            <w:shd w:val="clear" w:color="auto" w:fill="E6F4F3"/>
            <w:tcMar>
              <w:top w:w="80" w:type="dxa"/>
              <w:left w:w="100" w:type="dxa"/>
              <w:bottom w:w="80" w:type="dxa"/>
              <w:right w:w="100" w:type="dxa"/>
            </w:tcMar>
          </w:tcPr>
          <w:p w14:paraId="7EB107D3" w14:textId="77777777" w:rsidR="00C9577E" w:rsidRDefault="00000000">
            <w:r>
              <w:rPr>
                <w:color w:val="2C2C2C"/>
                <w:sz w:val="20"/>
                <w:szCs w:val="20"/>
              </w:rPr>
              <w:t>Σ(Z*·Z) − nZ̄*Z̄ / …</w:t>
            </w:r>
          </w:p>
        </w:tc>
        <w:tc>
          <w:tcPr>
            <w:tcW w:w="1735" w:type="dxa"/>
            <w:tcBorders>
              <w:top w:val="single" w:sz="1" w:space="0" w:color="CCCCCC"/>
              <w:left w:val="single" w:sz="1" w:space="0" w:color="CCCCCC"/>
              <w:bottom w:val="single" w:sz="1" w:space="0" w:color="CCCCCC"/>
              <w:right w:val="single" w:sz="1" w:space="0" w:color="CCCCCC"/>
            </w:tcBorders>
            <w:shd w:val="clear" w:color="auto" w:fill="E6F4F3"/>
            <w:tcMar>
              <w:top w:w="80" w:type="dxa"/>
              <w:left w:w="100" w:type="dxa"/>
              <w:bottom w:w="80" w:type="dxa"/>
              <w:right w:w="100" w:type="dxa"/>
            </w:tcMar>
          </w:tcPr>
          <w:p w14:paraId="68862CB3" w14:textId="77777777" w:rsidR="00C9577E" w:rsidRDefault="00000000">
            <w:r>
              <w:rPr>
                <w:color w:val="2C2C2C"/>
                <w:sz w:val="20"/>
                <w:szCs w:val="20"/>
              </w:rPr>
              <w:t>−1 to +1</w:t>
            </w:r>
          </w:p>
        </w:tc>
        <w:tc>
          <w:tcPr>
            <w:tcW w:w="2506" w:type="dxa"/>
            <w:tcBorders>
              <w:top w:val="single" w:sz="1" w:space="0" w:color="CCCCCC"/>
              <w:left w:val="single" w:sz="1" w:space="0" w:color="CCCCCC"/>
              <w:bottom w:val="single" w:sz="1" w:space="0" w:color="CCCCCC"/>
              <w:right w:val="single" w:sz="1" w:space="0" w:color="CCCCCC"/>
            </w:tcBorders>
            <w:shd w:val="clear" w:color="auto" w:fill="E6F4F3"/>
            <w:tcMar>
              <w:top w:w="80" w:type="dxa"/>
              <w:left w:w="100" w:type="dxa"/>
              <w:bottom w:w="80" w:type="dxa"/>
              <w:right w:w="100" w:type="dxa"/>
            </w:tcMar>
          </w:tcPr>
          <w:p w14:paraId="7E6DC363" w14:textId="77777777" w:rsidR="00C9577E" w:rsidRDefault="00000000">
            <w:r>
              <w:rPr>
                <w:color w:val="2C2C2C"/>
                <w:sz w:val="20"/>
                <w:szCs w:val="20"/>
              </w:rPr>
              <w:t>+1</w:t>
            </w:r>
          </w:p>
        </w:tc>
      </w:tr>
    </w:tbl>
    <w:p w14:paraId="609A7679" w14:textId="77777777" w:rsidR="00C9577E" w:rsidRDefault="00C9577E">
      <w:pPr>
        <w:spacing w:after="120"/>
      </w:pPr>
    </w:p>
    <w:p w14:paraId="20BFDFB8" w14:textId="77777777" w:rsidR="00C9577E" w:rsidRDefault="00000000">
      <w:pPr>
        <w:spacing w:before="80" w:after="80" w:line="300" w:lineRule="auto"/>
        <w:jc w:val="both"/>
      </w:pPr>
      <w:r>
        <w:rPr>
          <w:color w:val="2C2C2C"/>
        </w:rPr>
        <w:t>PBias and ME operate on monthly aggregated precipitation totals, providing a measure of overall forecast bias direction. COR was applied at daily timestep (31 daily values per month per lead), and RSE evaluated the precision of forecast spread relative to observed mean precipitation.</w:t>
      </w:r>
    </w:p>
    <w:p w14:paraId="7BF64E90" w14:textId="77777777" w:rsidR="00C9577E" w:rsidRDefault="00C9577E">
      <w:pPr>
        <w:spacing w:after="160"/>
      </w:pPr>
    </w:p>
    <w:p w14:paraId="3330D769" w14:textId="77777777" w:rsidR="00C9577E" w:rsidRDefault="00000000">
      <w:pPr>
        <w:spacing w:before="120" w:after="80"/>
      </w:pPr>
      <w:r>
        <w:rPr>
          <w:b/>
          <w:bCs/>
          <w:color w:val="0A1628"/>
          <w:sz w:val="23"/>
          <w:szCs w:val="23"/>
        </w:rPr>
        <w:t>3.5  Ensemble Analysis Procedure</w:t>
      </w:r>
    </w:p>
    <w:p w14:paraId="73C49C9A" w14:textId="77777777" w:rsidR="00C9577E" w:rsidRDefault="00000000">
      <w:pPr>
        <w:spacing w:before="80" w:after="80" w:line="300" w:lineRule="auto"/>
        <w:jc w:val="both"/>
      </w:pPr>
      <w:r>
        <w:rPr>
          <w:color w:val="2C2C2C"/>
        </w:rPr>
        <w:t>The analysis proceeded in three phases. In Phase 1, the mean of the 50 ensemble members was evaluated against observed precipitation for each month at Lead-1 using PBias, with spatial distributions plotted for each month. In Phase 2, the analysis was extended to include the 25th, 75th, and 95th percentile ensemble outputs for all months at Lead-1, to assess whether higher-percentile predictions captured the extreme events that the mean ensemble missed. In Phase 3, December was analysed in depth across all lead times (Lead-1 to Lead-6) using all four metrics for both the mean and the 95th percentile, and individual ensemble member performance (specifically EM-14, identified as the highest-frequency 95th-percentile exceedance member) was assessed against the ensemble mean and 95th percentile.</w:t>
      </w:r>
    </w:p>
    <w:p w14:paraId="58B8A865" w14:textId="77777777" w:rsidR="00C9577E" w:rsidRDefault="00C9577E">
      <w:pPr>
        <w:spacing w:after="280"/>
      </w:pPr>
    </w:p>
    <w:p w14:paraId="3F210CA0" w14:textId="77777777" w:rsidR="00C9577E" w:rsidRDefault="00000000">
      <w:pPr>
        <w:shd w:val="clear" w:color="auto" w:fill="0A7B74"/>
        <w:spacing w:before="320" w:after="160"/>
        <w:ind w:left="120" w:right="120"/>
      </w:pPr>
      <w:r>
        <w:rPr>
          <w:b/>
          <w:bCs/>
          <w:color w:val="FFFFFF"/>
          <w:sz w:val="24"/>
          <w:szCs w:val="24"/>
        </w:rPr>
        <w:t>4. KEY FINDINGS</w:t>
      </w:r>
    </w:p>
    <w:p w14:paraId="71EE191C" w14:textId="77777777" w:rsidR="00C9577E" w:rsidRDefault="00C9577E">
      <w:pPr>
        <w:spacing w:after="80"/>
      </w:pPr>
    </w:p>
    <w:p w14:paraId="56462FD8" w14:textId="77777777" w:rsidR="00C9577E" w:rsidRDefault="00000000">
      <w:pPr>
        <w:spacing w:before="120" w:after="80"/>
      </w:pPr>
      <w:r>
        <w:rPr>
          <w:b/>
          <w:bCs/>
          <w:color w:val="0A1628"/>
          <w:sz w:val="23"/>
          <w:szCs w:val="23"/>
        </w:rPr>
        <w:t>4.1  Performance of Mean Ensemble Members (Lead-1)</w:t>
      </w:r>
    </w:p>
    <w:p w14:paraId="5DA6683B" w14:textId="77777777" w:rsidR="00C9577E" w:rsidRDefault="00000000">
      <w:pPr>
        <w:spacing w:before="80" w:after="80" w:line="300" w:lineRule="auto"/>
        <w:jc w:val="both"/>
      </w:pPr>
      <w:r>
        <w:rPr>
          <w:color w:val="2C2C2C"/>
        </w:rPr>
        <w:t>The mean ensemble performed adequately for months with moderate or near-average precipitation. For July (PBias = −0.32), August (−0.14), and October (+0.08), the mean ensemble members stayed within acceptable bias ranges, demonstrating reliable predictive capability for standard hydrological conditions.</w:t>
      </w:r>
    </w:p>
    <w:p w14:paraId="53F97573" w14:textId="77777777" w:rsidR="00C9577E" w:rsidRDefault="00C9577E">
      <w:pPr>
        <w:spacing w:after="60"/>
      </w:pPr>
    </w:p>
    <w:p w14:paraId="241BAAB3" w14:textId="77777777" w:rsidR="00C9577E" w:rsidRDefault="00000000">
      <w:pPr>
        <w:spacing w:before="80" w:after="80" w:line="300" w:lineRule="auto"/>
        <w:jc w:val="both"/>
      </w:pPr>
      <w:r>
        <w:rPr>
          <w:color w:val="2C2C2C"/>
        </w:rPr>
        <w:t>September produced a severe outlier: with observed precipitation far below the long-term average, the ensemble dramatically overestimated rainfall (PBias = 1.70). This is a critical limitation for low-flow forecasting, which has direct consequences for agricultural planning and water resource management.</w:t>
      </w:r>
    </w:p>
    <w:p w14:paraId="54705A69" w14:textId="77777777" w:rsidR="00C9577E" w:rsidRDefault="00C9577E">
      <w:pPr>
        <w:spacing w:after="60"/>
      </w:pPr>
    </w:p>
    <w:p w14:paraId="75494FA0" w14:textId="77777777" w:rsidR="00C9577E" w:rsidRDefault="00000000">
      <w:pPr>
        <w:spacing w:before="80" w:after="80" w:line="300" w:lineRule="auto"/>
        <w:jc w:val="both"/>
      </w:pPr>
      <w:r>
        <w:rPr>
          <w:color w:val="2C2C2C"/>
        </w:rPr>
        <w:t>For the extreme-rainfall months of November (PBias = −0.40) and December (−0.51), the mean ensemble consistently underestimated actual precipitation. The mean ensemble was calibrated toward average conditions and was therefore structurally unable to capture tail-end extreme events.</w:t>
      </w:r>
    </w:p>
    <w:p w14:paraId="18809308" w14:textId="77777777" w:rsidR="00C9577E" w:rsidRDefault="00C9577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9577E" w14:paraId="1EB44712" w14:textId="77777777">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17954E95" w14:textId="48B042CD" w:rsidR="00C9577E" w:rsidRDefault="00751B0C">
            <w:pPr>
              <w:jc w:val="center"/>
            </w:pPr>
            <w:r w:rsidRPr="00751B0C">
              <w:rPr>
                <w:b/>
                <w:bCs/>
                <w:noProof/>
                <w:color w:val="0A7B74"/>
              </w:rPr>
              <w:lastRenderedPageBreak/>
              <w:drawing>
                <wp:inline distT="0" distB="0" distL="0" distR="0" wp14:anchorId="2CFF9993" wp14:editId="40D45DD9">
                  <wp:extent cx="4216400" cy="3031430"/>
                  <wp:effectExtent l="0" t="0" r="0" b="0"/>
                  <wp:docPr id="6536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1522" name=""/>
                          <pic:cNvPicPr/>
                        </pic:nvPicPr>
                        <pic:blipFill>
                          <a:blip r:embed="rId14"/>
                          <a:stretch>
                            <a:fillRect/>
                          </a:stretch>
                        </pic:blipFill>
                        <pic:spPr>
                          <a:xfrm>
                            <a:off x="0" y="0"/>
                            <a:ext cx="4230633" cy="3041663"/>
                          </a:xfrm>
                          <a:prstGeom prst="rect">
                            <a:avLst/>
                          </a:prstGeom>
                        </pic:spPr>
                      </pic:pic>
                    </a:graphicData>
                  </a:graphic>
                </wp:inline>
              </w:drawing>
            </w:r>
            <w:r w:rsidR="005C6D42">
              <w:rPr>
                <w:b/>
                <w:bCs/>
                <w:color w:val="0A7B74"/>
              </w:rPr>
              <w:br/>
            </w:r>
            <w:r>
              <w:rPr>
                <w:b/>
                <w:bCs/>
                <w:color w:val="0A7B74"/>
              </w:rPr>
              <w:t>📷  Figure 6 — Mean PBias spatial maps (Lead-1): Monthly spatial distribution of PBias for the mean ensemble, July–December 2023</w:t>
            </w:r>
          </w:p>
          <w:p w14:paraId="55F47834" w14:textId="77777777" w:rsidR="00C9577E" w:rsidRDefault="00000000">
            <w:pPr>
              <w:spacing w:before="60"/>
              <w:jc w:val="center"/>
            </w:pPr>
            <w:r>
              <w:rPr>
                <w:i/>
                <w:iCs/>
                <w:color w:val="666666"/>
                <w:sz w:val="18"/>
                <w:szCs w:val="18"/>
              </w:rPr>
              <w:t>Source: 5_RP_Report.pdf — Page 18 (Figure 13: six spatial PBias maps) / 5_RP_Presentation.pdf — Page 10 (Slide 10)</w:t>
            </w:r>
          </w:p>
        </w:tc>
      </w:tr>
    </w:tbl>
    <w:p w14:paraId="051751C3" w14:textId="77777777" w:rsidR="00C9577E" w:rsidRDefault="00C9577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9577E" w14:paraId="457D394A" w14:textId="77777777">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7B593F4B" w14:textId="29DE0FE4" w:rsidR="00751B0C" w:rsidRDefault="00751B0C">
            <w:pPr>
              <w:jc w:val="center"/>
              <w:rPr>
                <w:b/>
                <w:bCs/>
                <w:color w:val="0A7B74"/>
              </w:rPr>
            </w:pPr>
            <w:r>
              <w:rPr>
                <w:rFonts w:ascii="Times New Roman" w:hAnsi="Times New Roman" w:cs="Times New Roman"/>
                <w:noProof/>
              </w:rPr>
              <w:drawing>
                <wp:inline distT="0" distB="0" distL="0" distR="0" wp14:anchorId="47146A2E" wp14:editId="753A4412">
                  <wp:extent cx="2823667" cy="1697329"/>
                  <wp:effectExtent l="0" t="0" r="0" b="0"/>
                  <wp:docPr id="157294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35909" cy="1704688"/>
                          </a:xfrm>
                          <a:prstGeom prst="rect">
                            <a:avLst/>
                          </a:prstGeom>
                          <a:noFill/>
                        </pic:spPr>
                      </pic:pic>
                    </a:graphicData>
                  </a:graphic>
                </wp:inline>
              </w:drawing>
            </w:r>
          </w:p>
          <w:p w14:paraId="6AA85F9B" w14:textId="552EB16B" w:rsidR="00C9577E" w:rsidRDefault="00000000">
            <w:pPr>
              <w:jc w:val="center"/>
            </w:pPr>
            <w:r>
              <w:rPr>
                <w:b/>
                <w:bCs/>
                <w:color w:val="0A7B74"/>
              </w:rPr>
              <w:t>📷  Figure 7 — Mean PBias time series (Lead-1): Plot showing mean PBias values from July to December 2023</w:t>
            </w:r>
          </w:p>
          <w:p w14:paraId="5868BF3C" w14:textId="77777777" w:rsidR="00C9577E" w:rsidRDefault="00000000">
            <w:pPr>
              <w:spacing w:before="60"/>
              <w:jc w:val="center"/>
            </w:pPr>
            <w:r>
              <w:rPr>
                <w:i/>
                <w:iCs/>
                <w:color w:val="666666"/>
                <w:sz w:val="18"/>
                <w:szCs w:val="18"/>
              </w:rPr>
              <w:t>Source: 5_RP_Report.pdf — Page 19 (Figure 14: PBias line plot) / 5_RP_Presentation.pdf — Page 10 (Slide 10, right chart)</w:t>
            </w:r>
          </w:p>
        </w:tc>
      </w:tr>
    </w:tbl>
    <w:p w14:paraId="700B9336" w14:textId="77777777" w:rsidR="00C9577E" w:rsidRDefault="00C9577E">
      <w:pPr>
        <w:spacing w:after="160"/>
      </w:pPr>
    </w:p>
    <w:p w14:paraId="071B7BD3" w14:textId="77777777" w:rsidR="00C9577E" w:rsidRDefault="00000000">
      <w:pPr>
        <w:spacing w:before="120" w:after="80"/>
      </w:pPr>
      <w:r>
        <w:rPr>
          <w:b/>
          <w:bCs/>
          <w:color w:val="0A1628"/>
          <w:sz w:val="23"/>
          <w:szCs w:val="23"/>
        </w:rPr>
        <w:t>4.2  Interquartile and 95th Percentile Performance Summary</w:t>
      </w:r>
    </w:p>
    <w:p w14:paraId="446A1535" w14:textId="77777777" w:rsidR="00C9577E" w:rsidRDefault="00000000">
      <w:pPr>
        <w:spacing w:before="80" w:after="80" w:line="300" w:lineRule="auto"/>
        <w:jc w:val="both"/>
      </w:pPr>
      <w:r>
        <w:rPr>
          <w:color w:val="2C2C2C"/>
        </w:rPr>
        <w:t>The full PBias results by percentile band across all months at Lead-1 are summarised in the table below:</w:t>
      </w:r>
    </w:p>
    <w:p w14:paraId="34BC7E00" w14:textId="77777777" w:rsidR="00C9577E" w:rsidRDefault="00C9577E">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4"/>
        <w:gridCol w:w="1831"/>
        <w:gridCol w:w="1831"/>
        <w:gridCol w:w="1831"/>
        <w:gridCol w:w="1831"/>
      </w:tblGrid>
      <w:tr w:rsidR="00C9577E" w14:paraId="092AE58C" w14:textId="77777777">
        <w:tc>
          <w:tcPr>
            <w:tcW w:w="2313" w:type="dxa"/>
            <w:tcBorders>
              <w:top w:val="single" w:sz="1" w:space="0" w:color="CCCCCC"/>
              <w:left w:val="single" w:sz="1" w:space="0" w:color="CCCCCC"/>
              <w:bottom w:val="single" w:sz="1" w:space="0" w:color="CCCCCC"/>
              <w:right w:val="single" w:sz="1" w:space="0" w:color="CCCCCC"/>
            </w:tcBorders>
            <w:shd w:val="clear" w:color="auto" w:fill="0A7B74"/>
            <w:tcMar>
              <w:top w:w="80" w:type="dxa"/>
              <w:left w:w="100" w:type="dxa"/>
              <w:bottom w:w="80" w:type="dxa"/>
              <w:right w:w="100" w:type="dxa"/>
            </w:tcMar>
          </w:tcPr>
          <w:p w14:paraId="3E3AA77B" w14:textId="77777777" w:rsidR="00C9577E" w:rsidRDefault="00000000">
            <w:r>
              <w:rPr>
                <w:b/>
                <w:bCs/>
                <w:color w:val="FFFFFF"/>
                <w:sz w:val="20"/>
                <w:szCs w:val="20"/>
              </w:rPr>
              <w:t>Month (Lead-1)</w:t>
            </w:r>
          </w:p>
        </w:tc>
        <w:tc>
          <w:tcPr>
            <w:tcW w:w="1831" w:type="dxa"/>
            <w:tcBorders>
              <w:top w:val="single" w:sz="1" w:space="0" w:color="CCCCCC"/>
              <w:left w:val="single" w:sz="1" w:space="0" w:color="CCCCCC"/>
              <w:bottom w:val="single" w:sz="1" w:space="0" w:color="CCCCCC"/>
              <w:right w:val="single" w:sz="1" w:space="0" w:color="CCCCCC"/>
            </w:tcBorders>
            <w:shd w:val="clear" w:color="auto" w:fill="0A7B74"/>
            <w:tcMar>
              <w:top w:w="80" w:type="dxa"/>
              <w:left w:w="100" w:type="dxa"/>
              <w:bottom w:w="80" w:type="dxa"/>
              <w:right w:w="100" w:type="dxa"/>
            </w:tcMar>
          </w:tcPr>
          <w:p w14:paraId="6B37FF95" w14:textId="77777777" w:rsidR="00C9577E" w:rsidRDefault="00000000">
            <w:r>
              <w:rPr>
                <w:b/>
                <w:bCs/>
                <w:color w:val="FFFFFF"/>
                <w:sz w:val="20"/>
                <w:szCs w:val="20"/>
              </w:rPr>
              <w:t>Mean PBias</w:t>
            </w:r>
          </w:p>
        </w:tc>
        <w:tc>
          <w:tcPr>
            <w:tcW w:w="1831" w:type="dxa"/>
            <w:tcBorders>
              <w:top w:val="single" w:sz="1" w:space="0" w:color="CCCCCC"/>
              <w:left w:val="single" w:sz="1" w:space="0" w:color="CCCCCC"/>
              <w:bottom w:val="single" w:sz="1" w:space="0" w:color="CCCCCC"/>
              <w:right w:val="single" w:sz="1" w:space="0" w:color="CCCCCC"/>
            </w:tcBorders>
            <w:shd w:val="clear" w:color="auto" w:fill="0A7B74"/>
            <w:tcMar>
              <w:top w:w="80" w:type="dxa"/>
              <w:left w:w="100" w:type="dxa"/>
              <w:bottom w:w="80" w:type="dxa"/>
              <w:right w:w="100" w:type="dxa"/>
            </w:tcMar>
          </w:tcPr>
          <w:p w14:paraId="5E54F887" w14:textId="77777777" w:rsidR="00C9577E" w:rsidRDefault="00000000">
            <w:r>
              <w:rPr>
                <w:b/>
                <w:bCs/>
                <w:color w:val="FFFFFF"/>
                <w:sz w:val="20"/>
                <w:szCs w:val="20"/>
              </w:rPr>
              <w:t>25th Pctile</w:t>
            </w:r>
          </w:p>
        </w:tc>
        <w:tc>
          <w:tcPr>
            <w:tcW w:w="1831" w:type="dxa"/>
            <w:tcBorders>
              <w:top w:val="single" w:sz="1" w:space="0" w:color="CCCCCC"/>
              <w:left w:val="single" w:sz="1" w:space="0" w:color="CCCCCC"/>
              <w:bottom w:val="single" w:sz="1" w:space="0" w:color="CCCCCC"/>
              <w:right w:val="single" w:sz="1" w:space="0" w:color="CCCCCC"/>
            </w:tcBorders>
            <w:shd w:val="clear" w:color="auto" w:fill="0A7B74"/>
            <w:tcMar>
              <w:top w:w="80" w:type="dxa"/>
              <w:left w:w="100" w:type="dxa"/>
              <w:bottom w:w="80" w:type="dxa"/>
              <w:right w:w="100" w:type="dxa"/>
            </w:tcMar>
          </w:tcPr>
          <w:p w14:paraId="7CCF478E" w14:textId="77777777" w:rsidR="00C9577E" w:rsidRDefault="00000000">
            <w:r>
              <w:rPr>
                <w:b/>
                <w:bCs/>
                <w:color w:val="FFFFFF"/>
                <w:sz w:val="20"/>
                <w:szCs w:val="20"/>
              </w:rPr>
              <w:t>75th Pctile</w:t>
            </w:r>
          </w:p>
        </w:tc>
        <w:tc>
          <w:tcPr>
            <w:tcW w:w="1831" w:type="dxa"/>
            <w:tcBorders>
              <w:top w:val="single" w:sz="1" w:space="0" w:color="CCCCCC"/>
              <w:left w:val="single" w:sz="1" w:space="0" w:color="CCCCCC"/>
              <w:bottom w:val="single" w:sz="1" w:space="0" w:color="CCCCCC"/>
              <w:right w:val="single" w:sz="1" w:space="0" w:color="CCCCCC"/>
            </w:tcBorders>
            <w:shd w:val="clear" w:color="auto" w:fill="0A7B74"/>
            <w:tcMar>
              <w:top w:w="80" w:type="dxa"/>
              <w:left w:w="100" w:type="dxa"/>
              <w:bottom w:w="80" w:type="dxa"/>
              <w:right w:w="100" w:type="dxa"/>
            </w:tcMar>
          </w:tcPr>
          <w:p w14:paraId="36F8FDBC" w14:textId="77777777" w:rsidR="00C9577E" w:rsidRDefault="00000000">
            <w:r>
              <w:rPr>
                <w:b/>
                <w:bCs/>
                <w:color w:val="FFFFFF"/>
                <w:sz w:val="20"/>
                <w:szCs w:val="20"/>
              </w:rPr>
              <w:t>95th Pctile</w:t>
            </w:r>
          </w:p>
        </w:tc>
      </w:tr>
      <w:tr w:rsidR="00C9577E" w14:paraId="0A1FBEE6" w14:textId="77777777">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DB4F3F1" w14:textId="77777777" w:rsidR="00C9577E" w:rsidRDefault="00000000">
            <w:r>
              <w:rPr>
                <w:b/>
                <w:bCs/>
                <w:color w:val="2C2C2C"/>
                <w:sz w:val="20"/>
                <w:szCs w:val="20"/>
              </w:rPr>
              <w:t>July</w:t>
            </w:r>
          </w:p>
        </w:tc>
        <w:tc>
          <w:tcPr>
            <w:tcW w:w="18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1FF345A" w14:textId="77777777" w:rsidR="00C9577E" w:rsidRDefault="00000000">
            <w:r>
              <w:rPr>
                <w:color w:val="2C2C2C"/>
                <w:sz w:val="20"/>
                <w:szCs w:val="20"/>
              </w:rPr>
              <w:t>−0.32</w:t>
            </w:r>
          </w:p>
        </w:tc>
        <w:tc>
          <w:tcPr>
            <w:tcW w:w="18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6882555" w14:textId="77777777" w:rsidR="00C9577E" w:rsidRDefault="00000000">
            <w:r>
              <w:rPr>
                <w:color w:val="2C2C2C"/>
                <w:sz w:val="20"/>
                <w:szCs w:val="20"/>
              </w:rPr>
              <w:t>−0.55</w:t>
            </w:r>
          </w:p>
        </w:tc>
        <w:tc>
          <w:tcPr>
            <w:tcW w:w="18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00CF00A" w14:textId="77777777" w:rsidR="00C9577E" w:rsidRDefault="00000000">
            <w:r>
              <w:rPr>
                <w:color w:val="2C2C2C"/>
                <w:sz w:val="20"/>
                <w:szCs w:val="20"/>
              </w:rPr>
              <w:t>−0.12</w:t>
            </w:r>
          </w:p>
        </w:tc>
        <w:tc>
          <w:tcPr>
            <w:tcW w:w="18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B619863" w14:textId="77777777" w:rsidR="00C9577E" w:rsidRDefault="00000000">
            <w:r>
              <w:rPr>
                <w:color w:val="2C2C2C"/>
                <w:sz w:val="20"/>
                <w:szCs w:val="20"/>
              </w:rPr>
              <w:t>0.20</w:t>
            </w:r>
          </w:p>
        </w:tc>
      </w:tr>
      <w:tr w:rsidR="00C9577E" w14:paraId="2C58873C" w14:textId="77777777">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80" w:type="dxa"/>
              <w:left w:w="100" w:type="dxa"/>
              <w:bottom w:w="80" w:type="dxa"/>
              <w:right w:w="100" w:type="dxa"/>
            </w:tcMar>
          </w:tcPr>
          <w:p w14:paraId="7EEB221E" w14:textId="77777777" w:rsidR="00C9577E" w:rsidRDefault="00000000">
            <w:r>
              <w:rPr>
                <w:b/>
                <w:bCs/>
                <w:color w:val="2C2C2C"/>
                <w:sz w:val="20"/>
                <w:szCs w:val="20"/>
              </w:rPr>
              <w:t>August</w:t>
            </w:r>
          </w:p>
        </w:tc>
        <w:tc>
          <w:tcPr>
            <w:tcW w:w="1831" w:type="dxa"/>
            <w:tcBorders>
              <w:top w:val="single" w:sz="1" w:space="0" w:color="CCCCCC"/>
              <w:left w:val="single" w:sz="1" w:space="0" w:color="CCCCCC"/>
              <w:bottom w:val="single" w:sz="1" w:space="0" w:color="CCCCCC"/>
              <w:right w:val="single" w:sz="1" w:space="0" w:color="CCCCCC"/>
            </w:tcBorders>
            <w:shd w:val="clear" w:color="auto" w:fill="E6F4F3"/>
            <w:tcMar>
              <w:top w:w="80" w:type="dxa"/>
              <w:left w:w="100" w:type="dxa"/>
              <w:bottom w:w="80" w:type="dxa"/>
              <w:right w:w="100" w:type="dxa"/>
            </w:tcMar>
          </w:tcPr>
          <w:p w14:paraId="1D88CB51" w14:textId="77777777" w:rsidR="00C9577E" w:rsidRDefault="00000000">
            <w:r>
              <w:rPr>
                <w:color w:val="2C2C2C"/>
                <w:sz w:val="20"/>
                <w:szCs w:val="20"/>
              </w:rPr>
              <w:t>−0.14</w:t>
            </w:r>
          </w:p>
        </w:tc>
        <w:tc>
          <w:tcPr>
            <w:tcW w:w="1831" w:type="dxa"/>
            <w:tcBorders>
              <w:top w:val="single" w:sz="1" w:space="0" w:color="CCCCCC"/>
              <w:left w:val="single" w:sz="1" w:space="0" w:color="CCCCCC"/>
              <w:bottom w:val="single" w:sz="1" w:space="0" w:color="CCCCCC"/>
              <w:right w:val="single" w:sz="1" w:space="0" w:color="CCCCCC"/>
            </w:tcBorders>
            <w:shd w:val="clear" w:color="auto" w:fill="E6F4F3"/>
            <w:tcMar>
              <w:top w:w="80" w:type="dxa"/>
              <w:left w:w="100" w:type="dxa"/>
              <w:bottom w:w="80" w:type="dxa"/>
              <w:right w:w="100" w:type="dxa"/>
            </w:tcMar>
          </w:tcPr>
          <w:p w14:paraId="23ECA3FD" w14:textId="77777777" w:rsidR="00C9577E" w:rsidRDefault="00000000">
            <w:r>
              <w:rPr>
                <w:color w:val="2C2C2C"/>
                <w:sz w:val="20"/>
                <w:szCs w:val="20"/>
              </w:rPr>
              <w:t>−0.34</w:t>
            </w:r>
          </w:p>
        </w:tc>
        <w:tc>
          <w:tcPr>
            <w:tcW w:w="1831" w:type="dxa"/>
            <w:tcBorders>
              <w:top w:val="single" w:sz="1" w:space="0" w:color="CCCCCC"/>
              <w:left w:val="single" w:sz="1" w:space="0" w:color="CCCCCC"/>
              <w:bottom w:val="single" w:sz="1" w:space="0" w:color="CCCCCC"/>
              <w:right w:val="single" w:sz="1" w:space="0" w:color="CCCCCC"/>
            </w:tcBorders>
            <w:shd w:val="clear" w:color="auto" w:fill="E6F4F3"/>
            <w:tcMar>
              <w:top w:w="80" w:type="dxa"/>
              <w:left w:w="100" w:type="dxa"/>
              <w:bottom w:w="80" w:type="dxa"/>
              <w:right w:w="100" w:type="dxa"/>
            </w:tcMar>
          </w:tcPr>
          <w:p w14:paraId="485BF847" w14:textId="77777777" w:rsidR="00C9577E" w:rsidRDefault="00000000">
            <w:r>
              <w:rPr>
                <w:color w:val="2C2C2C"/>
                <w:sz w:val="20"/>
                <w:szCs w:val="20"/>
              </w:rPr>
              <w:t>0.01</w:t>
            </w:r>
          </w:p>
        </w:tc>
        <w:tc>
          <w:tcPr>
            <w:tcW w:w="1831" w:type="dxa"/>
            <w:tcBorders>
              <w:top w:val="single" w:sz="1" w:space="0" w:color="CCCCCC"/>
              <w:left w:val="single" w:sz="1" w:space="0" w:color="CCCCCC"/>
              <w:bottom w:val="single" w:sz="1" w:space="0" w:color="CCCCCC"/>
              <w:right w:val="single" w:sz="1" w:space="0" w:color="CCCCCC"/>
            </w:tcBorders>
            <w:shd w:val="clear" w:color="auto" w:fill="E6F4F3"/>
            <w:tcMar>
              <w:top w:w="80" w:type="dxa"/>
              <w:left w:w="100" w:type="dxa"/>
              <w:bottom w:w="80" w:type="dxa"/>
              <w:right w:w="100" w:type="dxa"/>
            </w:tcMar>
          </w:tcPr>
          <w:p w14:paraId="0B508DB1" w14:textId="77777777" w:rsidR="00C9577E" w:rsidRDefault="00000000">
            <w:r>
              <w:rPr>
                <w:color w:val="2C2C2C"/>
                <w:sz w:val="20"/>
                <w:szCs w:val="20"/>
              </w:rPr>
              <w:t>0.32</w:t>
            </w:r>
          </w:p>
        </w:tc>
      </w:tr>
      <w:tr w:rsidR="00C9577E" w14:paraId="543BD7D8" w14:textId="77777777">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B48CAA8" w14:textId="77777777" w:rsidR="00C9577E" w:rsidRDefault="00000000">
            <w:r>
              <w:rPr>
                <w:b/>
                <w:bCs/>
                <w:color w:val="2C2C2C"/>
                <w:sz w:val="20"/>
                <w:szCs w:val="20"/>
              </w:rPr>
              <w:t>September</w:t>
            </w:r>
          </w:p>
        </w:tc>
        <w:tc>
          <w:tcPr>
            <w:tcW w:w="18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2938246" w14:textId="77777777" w:rsidR="00C9577E" w:rsidRDefault="00000000">
            <w:r>
              <w:rPr>
                <w:color w:val="2C2C2C"/>
                <w:sz w:val="20"/>
                <w:szCs w:val="20"/>
              </w:rPr>
              <w:t>1.70</w:t>
            </w:r>
          </w:p>
        </w:tc>
        <w:tc>
          <w:tcPr>
            <w:tcW w:w="18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F978D8" w14:textId="77777777" w:rsidR="00C9577E" w:rsidRDefault="00000000">
            <w:r>
              <w:rPr>
                <w:color w:val="2C2C2C"/>
                <w:sz w:val="20"/>
                <w:szCs w:val="20"/>
              </w:rPr>
              <w:t>0.80</w:t>
            </w:r>
          </w:p>
        </w:tc>
        <w:tc>
          <w:tcPr>
            <w:tcW w:w="18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09DBFE6" w14:textId="77777777" w:rsidR="00C9577E" w:rsidRDefault="00000000">
            <w:r>
              <w:rPr>
                <w:color w:val="2C2C2C"/>
                <w:sz w:val="20"/>
                <w:szCs w:val="20"/>
              </w:rPr>
              <w:t>2.51</w:t>
            </w:r>
          </w:p>
        </w:tc>
        <w:tc>
          <w:tcPr>
            <w:tcW w:w="18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ED7B4B2" w14:textId="77777777" w:rsidR="00C9577E" w:rsidRDefault="00000000">
            <w:r>
              <w:rPr>
                <w:color w:val="2C2C2C"/>
                <w:sz w:val="20"/>
                <w:szCs w:val="20"/>
              </w:rPr>
              <w:t>3.89</w:t>
            </w:r>
          </w:p>
        </w:tc>
      </w:tr>
      <w:tr w:rsidR="00C9577E" w14:paraId="6C524246" w14:textId="77777777">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80" w:type="dxa"/>
              <w:left w:w="100" w:type="dxa"/>
              <w:bottom w:w="80" w:type="dxa"/>
              <w:right w:w="100" w:type="dxa"/>
            </w:tcMar>
          </w:tcPr>
          <w:p w14:paraId="16D468BD" w14:textId="77777777" w:rsidR="00C9577E" w:rsidRDefault="00000000">
            <w:r>
              <w:rPr>
                <w:b/>
                <w:bCs/>
                <w:color w:val="2C2C2C"/>
                <w:sz w:val="20"/>
                <w:szCs w:val="20"/>
              </w:rPr>
              <w:t>October</w:t>
            </w:r>
          </w:p>
        </w:tc>
        <w:tc>
          <w:tcPr>
            <w:tcW w:w="1831" w:type="dxa"/>
            <w:tcBorders>
              <w:top w:val="single" w:sz="1" w:space="0" w:color="CCCCCC"/>
              <w:left w:val="single" w:sz="1" w:space="0" w:color="CCCCCC"/>
              <w:bottom w:val="single" w:sz="1" w:space="0" w:color="CCCCCC"/>
              <w:right w:val="single" w:sz="1" w:space="0" w:color="CCCCCC"/>
            </w:tcBorders>
            <w:shd w:val="clear" w:color="auto" w:fill="E6F4F3"/>
            <w:tcMar>
              <w:top w:w="80" w:type="dxa"/>
              <w:left w:w="100" w:type="dxa"/>
              <w:bottom w:w="80" w:type="dxa"/>
              <w:right w:w="100" w:type="dxa"/>
            </w:tcMar>
          </w:tcPr>
          <w:p w14:paraId="6DC2EA62" w14:textId="77777777" w:rsidR="00C9577E" w:rsidRDefault="00000000">
            <w:r>
              <w:rPr>
                <w:color w:val="2C2C2C"/>
                <w:sz w:val="20"/>
                <w:szCs w:val="20"/>
              </w:rPr>
              <w:t>0.08</w:t>
            </w:r>
          </w:p>
        </w:tc>
        <w:tc>
          <w:tcPr>
            <w:tcW w:w="1831" w:type="dxa"/>
            <w:tcBorders>
              <w:top w:val="single" w:sz="1" w:space="0" w:color="CCCCCC"/>
              <w:left w:val="single" w:sz="1" w:space="0" w:color="CCCCCC"/>
              <w:bottom w:val="single" w:sz="1" w:space="0" w:color="CCCCCC"/>
              <w:right w:val="single" w:sz="1" w:space="0" w:color="CCCCCC"/>
            </w:tcBorders>
            <w:shd w:val="clear" w:color="auto" w:fill="E6F4F3"/>
            <w:tcMar>
              <w:top w:w="80" w:type="dxa"/>
              <w:left w:w="100" w:type="dxa"/>
              <w:bottom w:w="80" w:type="dxa"/>
              <w:right w:w="100" w:type="dxa"/>
            </w:tcMar>
          </w:tcPr>
          <w:p w14:paraId="69A695A1" w14:textId="77777777" w:rsidR="00C9577E" w:rsidRDefault="00000000">
            <w:r>
              <w:rPr>
                <w:color w:val="2C2C2C"/>
                <w:sz w:val="20"/>
                <w:szCs w:val="20"/>
              </w:rPr>
              <w:t>−0.30</w:t>
            </w:r>
          </w:p>
        </w:tc>
        <w:tc>
          <w:tcPr>
            <w:tcW w:w="1831" w:type="dxa"/>
            <w:tcBorders>
              <w:top w:val="single" w:sz="1" w:space="0" w:color="CCCCCC"/>
              <w:left w:val="single" w:sz="1" w:space="0" w:color="CCCCCC"/>
              <w:bottom w:val="single" w:sz="1" w:space="0" w:color="CCCCCC"/>
              <w:right w:val="single" w:sz="1" w:space="0" w:color="CCCCCC"/>
            </w:tcBorders>
            <w:shd w:val="clear" w:color="auto" w:fill="E6F4F3"/>
            <w:tcMar>
              <w:top w:w="80" w:type="dxa"/>
              <w:left w:w="100" w:type="dxa"/>
              <w:bottom w:w="80" w:type="dxa"/>
              <w:right w:w="100" w:type="dxa"/>
            </w:tcMar>
          </w:tcPr>
          <w:p w14:paraId="36C72E36" w14:textId="77777777" w:rsidR="00C9577E" w:rsidRDefault="00000000">
            <w:r>
              <w:rPr>
                <w:color w:val="2C2C2C"/>
                <w:sz w:val="20"/>
                <w:szCs w:val="20"/>
              </w:rPr>
              <w:t>0.37</w:t>
            </w:r>
          </w:p>
        </w:tc>
        <w:tc>
          <w:tcPr>
            <w:tcW w:w="1831" w:type="dxa"/>
            <w:tcBorders>
              <w:top w:val="single" w:sz="1" w:space="0" w:color="CCCCCC"/>
              <w:left w:val="single" w:sz="1" w:space="0" w:color="CCCCCC"/>
              <w:bottom w:val="single" w:sz="1" w:space="0" w:color="CCCCCC"/>
              <w:right w:val="single" w:sz="1" w:space="0" w:color="CCCCCC"/>
            </w:tcBorders>
            <w:shd w:val="clear" w:color="auto" w:fill="E6F4F3"/>
            <w:tcMar>
              <w:top w:w="80" w:type="dxa"/>
              <w:left w:w="100" w:type="dxa"/>
              <w:bottom w:w="80" w:type="dxa"/>
              <w:right w:w="100" w:type="dxa"/>
            </w:tcMar>
          </w:tcPr>
          <w:p w14:paraId="1244969A" w14:textId="77777777" w:rsidR="00C9577E" w:rsidRDefault="00000000">
            <w:r>
              <w:rPr>
                <w:color w:val="2C2C2C"/>
                <w:sz w:val="20"/>
                <w:szCs w:val="20"/>
              </w:rPr>
              <w:t>1.00</w:t>
            </w:r>
          </w:p>
        </w:tc>
      </w:tr>
      <w:tr w:rsidR="00C9577E" w14:paraId="6487BCF5" w14:textId="77777777">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AC55757" w14:textId="77777777" w:rsidR="00C9577E" w:rsidRDefault="00000000">
            <w:r>
              <w:rPr>
                <w:b/>
                <w:bCs/>
                <w:color w:val="2C2C2C"/>
                <w:sz w:val="20"/>
                <w:szCs w:val="20"/>
              </w:rPr>
              <w:lastRenderedPageBreak/>
              <w:t>November</w:t>
            </w:r>
          </w:p>
        </w:tc>
        <w:tc>
          <w:tcPr>
            <w:tcW w:w="18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FB46B43" w14:textId="77777777" w:rsidR="00C9577E" w:rsidRDefault="00000000">
            <w:r>
              <w:rPr>
                <w:color w:val="2C2C2C"/>
                <w:sz w:val="20"/>
                <w:szCs w:val="20"/>
              </w:rPr>
              <w:t>−0.40</w:t>
            </w:r>
          </w:p>
        </w:tc>
        <w:tc>
          <w:tcPr>
            <w:tcW w:w="18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783CE31" w14:textId="77777777" w:rsidR="00C9577E" w:rsidRDefault="00000000">
            <w:r>
              <w:rPr>
                <w:color w:val="2C2C2C"/>
                <w:sz w:val="20"/>
                <w:szCs w:val="20"/>
              </w:rPr>
              <w:t>−0.62</w:t>
            </w:r>
          </w:p>
        </w:tc>
        <w:tc>
          <w:tcPr>
            <w:tcW w:w="18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68A1A86" w14:textId="77777777" w:rsidR="00C9577E" w:rsidRDefault="00000000">
            <w:r>
              <w:rPr>
                <w:color w:val="2C2C2C"/>
                <w:sz w:val="20"/>
                <w:szCs w:val="20"/>
              </w:rPr>
              <w:t>−0.25</w:t>
            </w:r>
          </w:p>
        </w:tc>
        <w:tc>
          <w:tcPr>
            <w:tcW w:w="18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B284FBC" w14:textId="77777777" w:rsidR="00C9577E" w:rsidRDefault="00000000">
            <w:r>
              <w:rPr>
                <w:color w:val="2C2C2C"/>
                <w:sz w:val="20"/>
                <w:szCs w:val="20"/>
              </w:rPr>
              <w:t>0.03</w:t>
            </w:r>
          </w:p>
        </w:tc>
      </w:tr>
      <w:tr w:rsidR="00C9577E" w14:paraId="5BD1D48A" w14:textId="77777777">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80" w:type="dxa"/>
              <w:left w:w="100" w:type="dxa"/>
              <w:bottom w:w="80" w:type="dxa"/>
              <w:right w:w="100" w:type="dxa"/>
            </w:tcMar>
          </w:tcPr>
          <w:p w14:paraId="4668DECA" w14:textId="77777777" w:rsidR="00C9577E" w:rsidRDefault="00000000">
            <w:r>
              <w:rPr>
                <w:b/>
                <w:bCs/>
                <w:color w:val="2C2C2C"/>
                <w:sz w:val="20"/>
                <w:szCs w:val="20"/>
              </w:rPr>
              <w:t>December</w:t>
            </w:r>
          </w:p>
        </w:tc>
        <w:tc>
          <w:tcPr>
            <w:tcW w:w="1831" w:type="dxa"/>
            <w:tcBorders>
              <w:top w:val="single" w:sz="1" w:space="0" w:color="CCCCCC"/>
              <w:left w:val="single" w:sz="1" w:space="0" w:color="CCCCCC"/>
              <w:bottom w:val="single" w:sz="1" w:space="0" w:color="CCCCCC"/>
              <w:right w:val="single" w:sz="1" w:space="0" w:color="CCCCCC"/>
            </w:tcBorders>
            <w:shd w:val="clear" w:color="auto" w:fill="E6F4F3"/>
            <w:tcMar>
              <w:top w:w="80" w:type="dxa"/>
              <w:left w:w="100" w:type="dxa"/>
              <w:bottom w:w="80" w:type="dxa"/>
              <w:right w:w="100" w:type="dxa"/>
            </w:tcMar>
          </w:tcPr>
          <w:p w14:paraId="4037D8C7" w14:textId="77777777" w:rsidR="00C9577E" w:rsidRDefault="00000000">
            <w:r>
              <w:rPr>
                <w:color w:val="2C2C2C"/>
                <w:sz w:val="20"/>
                <w:szCs w:val="20"/>
              </w:rPr>
              <w:t>−0.51</w:t>
            </w:r>
          </w:p>
        </w:tc>
        <w:tc>
          <w:tcPr>
            <w:tcW w:w="1831" w:type="dxa"/>
            <w:tcBorders>
              <w:top w:val="single" w:sz="1" w:space="0" w:color="CCCCCC"/>
              <w:left w:val="single" w:sz="1" w:space="0" w:color="CCCCCC"/>
              <w:bottom w:val="single" w:sz="1" w:space="0" w:color="CCCCCC"/>
              <w:right w:val="single" w:sz="1" w:space="0" w:color="CCCCCC"/>
            </w:tcBorders>
            <w:shd w:val="clear" w:color="auto" w:fill="E6F4F3"/>
            <w:tcMar>
              <w:top w:w="80" w:type="dxa"/>
              <w:left w:w="100" w:type="dxa"/>
              <w:bottom w:w="80" w:type="dxa"/>
              <w:right w:w="100" w:type="dxa"/>
            </w:tcMar>
          </w:tcPr>
          <w:p w14:paraId="39842BA0" w14:textId="77777777" w:rsidR="00C9577E" w:rsidRDefault="00000000">
            <w:r>
              <w:rPr>
                <w:color w:val="2C2C2C"/>
                <w:sz w:val="20"/>
                <w:szCs w:val="20"/>
              </w:rPr>
              <w:t>−0.66</w:t>
            </w:r>
          </w:p>
        </w:tc>
        <w:tc>
          <w:tcPr>
            <w:tcW w:w="1831" w:type="dxa"/>
            <w:tcBorders>
              <w:top w:val="single" w:sz="1" w:space="0" w:color="CCCCCC"/>
              <w:left w:val="single" w:sz="1" w:space="0" w:color="CCCCCC"/>
              <w:bottom w:val="single" w:sz="1" w:space="0" w:color="CCCCCC"/>
              <w:right w:val="single" w:sz="1" w:space="0" w:color="CCCCCC"/>
            </w:tcBorders>
            <w:shd w:val="clear" w:color="auto" w:fill="E6F4F3"/>
            <w:tcMar>
              <w:top w:w="80" w:type="dxa"/>
              <w:left w:w="100" w:type="dxa"/>
              <w:bottom w:w="80" w:type="dxa"/>
              <w:right w:w="100" w:type="dxa"/>
            </w:tcMar>
          </w:tcPr>
          <w:p w14:paraId="1E8A7118" w14:textId="77777777" w:rsidR="00C9577E" w:rsidRDefault="00000000">
            <w:r>
              <w:rPr>
                <w:color w:val="2C2C2C"/>
                <w:sz w:val="20"/>
                <w:szCs w:val="20"/>
              </w:rPr>
              <w:t>−0.42</w:t>
            </w:r>
          </w:p>
        </w:tc>
        <w:tc>
          <w:tcPr>
            <w:tcW w:w="1831" w:type="dxa"/>
            <w:tcBorders>
              <w:top w:val="single" w:sz="1" w:space="0" w:color="CCCCCC"/>
              <w:left w:val="single" w:sz="1" w:space="0" w:color="CCCCCC"/>
              <w:bottom w:val="single" w:sz="1" w:space="0" w:color="CCCCCC"/>
              <w:right w:val="single" w:sz="1" w:space="0" w:color="CCCCCC"/>
            </w:tcBorders>
            <w:shd w:val="clear" w:color="auto" w:fill="E6F4F3"/>
            <w:tcMar>
              <w:top w:w="80" w:type="dxa"/>
              <w:left w:w="100" w:type="dxa"/>
              <w:bottom w:w="80" w:type="dxa"/>
              <w:right w:w="100" w:type="dxa"/>
            </w:tcMar>
          </w:tcPr>
          <w:p w14:paraId="402162A3" w14:textId="77777777" w:rsidR="00C9577E" w:rsidRDefault="00000000">
            <w:r>
              <w:rPr>
                <w:color w:val="2C2C2C"/>
                <w:sz w:val="20"/>
                <w:szCs w:val="20"/>
              </w:rPr>
              <w:t>−0.009</w:t>
            </w:r>
          </w:p>
        </w:tc>
      </w:tr>
    </w:tbl>
    <w:p w14:paraId="1BD39D5C" w14:textId="77777777" w:rsidR="00C9577E" w:rsidRDefault="00C9577E">
      <w:pPr>
        <w:spacing w:after="120"/>
      </w:pPr>
    </w:p>
    <w:p w14:paraId="20488321" w14:textId="77777777" w:rsidR="00C9577E" w:rsidRDefault="00000000">
      <w:pPr>
        <w:spacing w:before="80" w:after="80" w:line="300" w:lineRule="auto"/>
        <w:jc w:val="both"/>
      </w:pPr>
      <w:r>
        <w:rPr>
          <w:color w:val="2C2C2C"/>
        </w:rPr>
        <w:t>The 95th percentile consistently demonstrated the highest sensitivity to extreme precipitation conditions. For the critical flood months (November and December), the 95th percentile PBias values were near zero (0.03 and −0.009 respectively), indicating well-calibrated forecasts for extreme events. The 25th percentile persistently underestimated precipitation across all months, reflecting poor sensitivity to moderate-to-high rainfall conditions. The mean and 75th percentile performed best for average flow months.</w:t>
      </w:r>
    </w:p>
    <w:p w14:paraId="18DB3F04" w14:textId="77777777" w:rsidR="00C9577E" w:rsidRDefault="00C9577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9577E" w14:paraId="73EA08D1" w14:textId="77777777">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7999FC31" w14:textId="56B8BC5C" w:rsidR="00035CA1" w:rsidRDefault="00035CA1">
            <w:pPr>
              <w:jc w:val="center"/>
              <w:rPr>
                <w:b/>
                <w:bCs/>
                <w:color w:val="0A7B74"/>
              </w:rPr>
            </w:pPr>
            <w:r w:rsidRPr="00035CA1">
              <w:rPr>
                <w:b/>
                <w:bCs/>
                <w:color w:val="0A7B74"/>
              </w:rPr>
              <w:drawing>
                <wp:inline distT="0" distB="0" distL="0" distR="0" wp14:anchorId="081F0B96" wp14:editId="34E4FEB5">
                  <wp:extent cx="3429000" cy="2485764"/>
                  <wp:effectExtent l="0" t="0" r="0" b="0"/>
                  <wp:docPr id="88121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12987" name=""/>
                          <pic:cNvPicPr/>
                        </pic:nvPicPr>
                        <pic:blipFill>
                          <a:blip r:embed="rId16"/>
                          <a:stretch>
                            <a:fillRect/>
                          </a:stretch>
                        </pic:blipFill>
                        <pic:spPr>
                          <a:xfrm>
                            <a:off x="0" y="0"/>
                            <a:ext cx="3436159" cy="2490954"/>
                          </a:xfrm>
                          <a:prstGeom prst="rect">
                            <a:avLst/>
                          </a:prstGeom>
                        </pic:spPr>
                      </pic:pic>
                    </a:graphicData>
                  </a:graphic>
                </wp:inline>
              </w:drawing>
            </w:r>
          </w:p>
          <w:p w14:paraId="2E0D2E82" w14:textId="0C216E88" w:rsidR="00C9577E" w:rsidRDefault="00000000">
            <w:pPr>
              <w:jc w:val="center"/>
            </w:pPr>
            <w:r>
              <w:rPr>
                <w:b/>
                <w:bCs/>
                <w:color w:val="0A7B74"/>
              </w:rPr>
              <w:t>📷  Figure 8 — Interquartile PBias comparison (Lead-1): PBias for Mean, 25th, 75th, and 95th percentile across July–December 2023</w:t>
            </w:r>
          </w:p>
          <w:p w14:paraId="4ABDF197" w14:textId="77777777" w:rsidR="00C9577E" w:rsidRDefault="00000000">
            <w:pPr>
              <w:spacing w:before="60"/>
              <w:jc w:val="center"/>
            </w:pPr>
            <w:r>
              <w:rPr>
                <w:i/>
                <w:iCs/>
                <w:color w:val="666666"/>
                <w:sz w:val="18"/>
                <w:szCs w:val="18"/>
              </w:rPr>
              <w:t>Source: 5_RP_Report.pdf — Page 20 (Figure 15: multi-line PBias plot with data table) / 5_RP_Presentation.pdf — Page 11 (Slide 11)</w:t>
            </w:r>
          </w:p>
        </w:tc>
      </w:tr>
    </w:tbl>
    <w:p w14:paraId="74612765" w14:textId="77777777" w:rsidR="00C9577E" w:rsidRDefault="00C9577E">
      <w:pPr>
        <w:spacing w:after="160"/>
      </w:pPr>
    </w:p>
    <w:p w14:paraId="4E313611" w14:textId="77777777" w:rsidR="00C9577E" w:rsidRDefault="00000000">
      <w:pPr>
        <w:spacing w:before="120" w:after="80"/>
      </w:pPr>
      <w:r>
        <w:rPr>
          <w:b/>
          <w:bCs/>
          <w:color w:val="0A1628"/>
          <w:sz w:val="23"/>
          <w:szCs w:val="23"/>
        </w:rPr>
        <w:t>4.3  December 2023 Flood Analysis — Lead-1 to Lead-6</w:t>
      </w:r>
    </w:p>
    <w:p w14:paraId="50F40510" w14:textId="77777777" w:rsidR="00C9577E" w:rsidRDefault="00000000">
      <w:pPr>
        <w:spacing w:before="80" w:after="80" w:line="300" w:lineRule="auto"/>
        <w:jc w:val="both"/>
      </w:pPr>
      <w:r>
        <w:rPr>
          <w:color w:val="2C2C2C"/>
        </w:rPr>
        <w:t>December 2023 was the peak month of the flood event, with widespread precipitation of 240–260 mm across the basin. The 95th percentile analysis across Lead-1 to Lead-6 revealed a remarkable result: Lead-6 (forecast issued 7 months before December) achieved a near-zero PBias of −0.09, essentially an accurate prediction of the extreme rainfall magnitude. Lead-5 achieved a positive PBias of +0.16 (slight overestimate), while Leads 2–4 showed modest underestimation (around −0.08 to −0.20).</w:t>
      </w:r>
    </w:p>
    <w:p w14:paraId="3C731D51" w14:textId="77777777" w:rsidR="00C9577E" w:rsidRDefault="00C9577E">
      <w:pPr>
        <w:spacing w:after="60"/>
      </w:pPr>
    </w:p>
    <w:p w14:paraId="2738727C" w14:textId="77777777" w:rsidR="00C9577E" w:rsidRDefault="00000000">
      <w:pPr>
        <w:spacing w:before="80" w:after="80" w:line="300" w:lineRule="auto"/>
        <w:jc w:val="both"/>
      </w:pPr>
      <w:r>
        <w:rPr>
          <w:color w:val="2C2C2C"/>
        </w:rPr>
        <w:t>Correlation analysis at daily timestep showed uniformly low values (approaching zero) for both the mean and 95th percentile across all leads. This reflects the fundamental challenge of predicting exact day-by-day rainfall sequencing months in advance — seasonal forecasts capture magnitude and climatological tendency, not deterministic daily sequences.</w:t>
      </w:r>
    </w:p>
    <w:p w14:paraId="3B8CD285" w14:textId="77777777" w:rsidR="00C9577E" w:rsidRDefault="00C9577E">
      <w:pPr>
        <w:spacing w:after="60"/>
      </w:pPr>
    </w:p>
    <w:p w14:paraId="2474F922" w14:textId="77777777" w:rsidR="00C9577E" w:rsidRDefault="00000000">
      <w:pPr>
        <w:spacing w:before="80" w:after="80" w:line="300" w:lineRule="auto"/>
        <w:jc w:val="both"/>
      </w:pPr>
      <w:r>
        <w:rPr>
          <w:color w:val="2C2C2C"/>
        </w:rPr>
        <w:t xml:space="preserve">The Mean Error analysis for December showed that the 95th percentile consistently outperformed the mean. For the mean ensemble, ME ranged from −79.8 mm (Lead-1) to −95.7 mm (Lead-2), indicating massive underestimation. The 95th percentile ME was substantially better, with Lead-3 </w:t>
      </w:r>
      <w:r>
        <w:rPr>
          <w:color w:val="2C2C2C"/>
        </w:rPr>
        <w:lastRenderedPageBreak/>
        <w:t>achieving a positive ME of +3.5 mm and Lead-5 achieving −2.6 mm — errors close to zero relative to the observed ~141 mm basin-average precipitation.</w:t>
      </w:r>
    </w:p>
    <w:p w14:paraId="36864566" w14:textId="77777777" w:rsidR="00C9577E" w:rsidRDefault="00C9577E">
      <w:pPr>
        <w:spacing w:after="60"/>
      </w:pPr>
    </w:p>
    <w:p w14:paraId="58212ECC" w14:textId="77777777" w:rsidR="00C9577E" w:rsidRDefault="00000000">
      <w:pPr>
        <w:spacing w:before="80" w:after="80" w:line="300" w:lineRule="auto"/>
        <w:jc w:val="both"/>
      </w:pPr>
      <w:r>
        <w:rPr>
          <w:color w:val="2C2C2C"/>
        </w:rPr>
        <w:t>RSE analysis confirmed these findings: the mean ensemble RSE ranged from 0.37 to 0.63 (high relative error), while the 95th percentile RSE was consistently lower at 0.20–0.34, indicating better precision relative to observed magnitude.</w:t>
      </w:r>
    </w:p>
    <w:p w14:paraId="0C0D32A9" w14:textId="77777777" w:rsidR="00C9577E" w:rsidRDefault="00C9577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9577E" w14:paraId="13B79A91" w14:textId="77777777">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1EA044C3" w14:textId="6624B04E" w:rsidR="00751B0C" w:rsidRDefault="00751B0C">
            <w:pPr>
              <w:jc w:val="center"/>
              <w:rPr>
                <w:b/>
                <w:bCs/>
                <w:color w:val="0A7B74"/>
              </w:rPr>
            </w:pPr>
            <w:r w:rsidRPr="00751B0C">
              <w:rPr>
                <w:b/>
                <w:bCs/>
                <w:noProof/>
                <w:color w:val="0A7B74"/>
              </w:rPr>
              <w:drawing>
                <wp:inline distT="0" distB="0" distL="0" distR="0" wp14:anchorId="288C8305" wp14:editId="31F6EF73">
                  <wp:extent cx="4413250" cy="3288103"/>
                  <wp:effectExtent l="0" t="0" r="6350" b="7620"/>
                  <wp:docPr id="22318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84068" name=""/>
                          <pic:cNvPicPr/>
                        </pic:nvPicPr>
                        <pic:blipFill>
                          <a:blip r:embed="rId17"/>
                          <a:stretch>
                            <a:fillRect/>
                          </a:stretch>
                        </pic:blipFill>
                        <pic:spPr>
                          <a:xfrm>
                            <a:off x="0" y="0"/>
                            <a:ext cx="4418859" cy="3292282"/>
                          </a:xfrm>
                          <a:prstGeom prst="rect">
                            <a:avLst/>
                          </a:prstGeom>
                        </pic:spPr>
                      </pic:pic>
                    </a:graphicData>
                  </a:graphic>
                </wp:inline>
              </w:drawing>
            </w:r>
          </w:p>
          <w:p w14:paraId="715D3C1B" w14:textId="7351A7D3" w:rsidR="00C9577E" w:rsidRDefault="00000000">
            <w:pPr>
              <w:jc w:val="center"/>
            </w:pPr>
            <w:r>
              <w:rPr>
                <w:b/>
                <w:bCs/>
                <w:color w:val="0A7B74"/>
              </w:rPr>
              <w:t>📷  Figure 9 — December 95th percentile spatial maps (Lead-1 to Lead-6): Spatial distribution of precipitation for the 95th percentile across all lead months</w:t>
            </w:r>
          </w:p>
          <w:p w14:paraId="20D7D949" w14:textId="77777777" w:rsidR="00C9577E" w:rsidRDefault="00000000">
            <w:pPr>
              <w:spacing w:before="60"/>
              <w:jc w:val="center"/>
            </w:pPr>
            <w:r>
              <w:rPr>
                <w:i/>
                <w:iCs/>
                <w:color w:val="666666"/>
                <w:sz w:val="18"/>
                <w:szCs w:val="18"/>
              </w:rPr>
              <w:t>Source: 5_RP_Report.pdf — Page 22 (Figure 17: six lead-time spatial maps)</w:t>
            </w:r>
          </w:p>
        </w:tc>
      </w:tr>
    </w:tbl>
    <w:p w14:paraId="05B16660" w14:textId="77777777" w:rsidR="00C9577E" w:rsidRDefault="00C9577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9577E" w14:paraId="2BA59532" w14:textId="77777777">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4EE8F821" w14:textId="384BDEB7" w:rsidR="00751B0C" w:rsidRDefault="00751B0C">
            <w:pPr>
              <w:jc w:val="center"/>
              <w:rPr>
                <w:b/>
                <w:bCs/>
                <w:color w:val="0A7B74"/>
              </w:rPr>
            </w:pPr>
            <w:r>
              <w:rPr>
                <w:rFonts w:ascii="Times New Roman" w:hAnsi="Times New Roman" w:cs="Times New Roman"/>
                <w:b/>
                <w:bCs/>
                <w:noProof/>
              </w:rPr>
              <w:drawing>
                <wp:inline distT="0" distB="0" distL="0" distR="0" wp14:anchorId="51ABE547" wp14:editId="500C3271">
                  <wp:extent cx="4599415" cy="2343129"/>
                  <wp:effectExtent l="0" t="0" r="0" b="635"/>
                  <wp:docPr id="2123449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04832" cy="2345889"/>
                          </a:xfrm>
                          <a:prstGeom prst="rect">
                            <a:avLst/>
                          </a:prstGeom>
                          <a:noFill/>
                        </pic:spPr>
                      </pic:pic>
                    </a:graphicData>
                  </a:graphic>
                </wp:inline>
              </w:drawing>
            </w:r>
          </w:p>
          <w:p w14:paraId="01B11F1C" w14:textId="057AB11A" w:rsidR="00C9577E" w:rsidRDefault="00000000">
            <w:pPr>
              <w:jc w:val="center"/>
            </w:pPr>
            <w:r>
              <w:rPr>
                <w:b/>
                <w:bCs/>
                <w:color w:val="0A7B74"/>
              </w:rPr>
              <w:t>📷  Figure 10 — December PBias by lead time: Average PBias across the Weser catchment for the 95th percentile of EM for Lead-1 through Lead-6</w:t>
            </w:r>
          </w:p>
          <w:p w14:paraId="03032B6D" w14:textId="77777777" w:rsidR="00C9577E" w:rsidRDefault="00000000">
            <w:pPr>
              <w:spacing w:before="60"/>
              <w:jc w:val="center"/>
            </w:pPr>
            <w:r>
              <w:rPr>
                <w:i/>
                <w:iCs/>
                <w:color w:val="666666"/>
                <w:sz w:val="18"/>
                <w:szCs w:val="18"/>
              </w:rPr>
              <w:t>Source: 5_RP_Report.pdf — Page 22 (Figure 17a: line chart with data table) / 5_RP_Presentation.pdf — Page 12 (Slide 12, right chart)</w:t>
            </w:r>
          </w:p>
        </w:tc>
      </w:tr>
    </w:tbl>
    <w:p w14:paraId="0A596A2B" w14:textId="77777777" w:rsidR="00C9577E" w:rsidRDefault="00C9577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9577E" w14:paraId="2E605F9B" w14:textId="77777777">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105AD29B" w14:textId="6D14F40E" w:rsidR="00751B0C" w:rsidRDefault="00751B0C">
            <w:pPr>
              <w:jc w:val="center"/>
              <w:rPr>
                <w:b/>
                <w:bCs/>
                <w:color w:val="0A7B74"/>
              </w:rPr>
            </w:pPr>
            <w:r w:rsidRPr="00751B0C">
              <w:rPr>
                <w:b/>
                <w:bCs/>
                <w:noProof/>
                <w:color w:val="0A7B74"/>
              </w:rPr>
              <w:lastRenderedPageBreak/>
              <w:drawing>
                <wp:inline distT="0" distB="0" distL="0" distR="0" wp14:anchorId="57E3B4BF" wp14:editId="5599E05F">
                  <wp:extent cx="5569236" cy="3797495"/>
                  <wp:effectExtent l="0" t="0" r="0" b="0"/>
                  <wp:docPr id="137641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19996" name=""/>
                          <pic:cNvPicPr/>
                        </pic:nvPicPr>
                        <pic:blipFill>
                          <a:blip r:embed="rId19"/>
                          <a:stretch>
                            <a:fillRect/>
                          </a:stretch>
                        </pic:blipFill>
                        <pic:spPr>
                          <a:xfrm>
                            <a:off x="0" y="0"/>
                            <a:ext cx="5569236" cy="3797495"/>
                          </a:xfrm>
                          <a:prstGeom prst="rect">
                            <a:avLst/>
                          </a:prstGeom>
                        </pic:spPr>
                      </pic:pic>
                    </a:graphicData>
                  </a:graphic>
                </wp:inline>
              </w:drawing>
            </w:r>
          </w:p>
          <w:p w14:paraId="234A98A3" w14:textId="5A83E0FB" w:rsidR="00C9577E" w:rsidRDefault="00000000">
            <w:pPr>
              <w:jc w:val="center"/>
            </w:pPr>
            <w:r>
              <w:rPr>
                <w:b/>
                <w:bCs/>
                <w:color w:val="0A7B74"/>
              </w:rPr>
              <w:t>📷  Figure 11 — December Mean Error and RSE: Comparison of Mean Error (left) and Relative Standard Error (right) for Mean EM vs. 95th percentile across Lead-1 to Lead-6</w:t>
            </w:r>
          </w:p>
          <w:p w14:paraId="7FCE74B6" w14:textId="77777777" w:rsidR="00C9577E" w:rsidRDefault="00000000">
            <w:pPr>
              <w:spacing w:before="60"/>
              <w:jc w:val="center"/>
            </w:pPr>
            <w:r>
              <w:rPr>
                <w:i/>
                <w:iCs/>
                <w:color w:val="666666"/>
                <w:sz w:val="18"/>
                <w:szCs w:val="18"/>
              </w:rPr>
              <w:t>Source: 5_RP_Report.pdf — Pages 25–26 (Figure 21 and Figure 22)</w:t>
            </w:r>
          </w:p>
        </w:tc>
      </w:tr>
    </w:tbl>
    <w:p w14:paraId="42408FF4" w14:textId="77777777" w:rsidR="00C9577E" w:rsidRDefault="00C9577E">
      <w:pPr>
        <w:spacing w:after="160"/>
      </w:pPr>
    </w:p>
    <w:p w14:paraId="41DF6AE4" w14:textId="77777777" w:rsidR="00C9577E" w:rsidRDefault="00000000">
      <w:pPr>
        <w:spacing w:before="120" w:after="80"/>
      </w:pPr>
      <w:r>
        <w:rPr>
          <w:b/>
          <w:bCs/>
          <w:color w:val="0A1628"/>
          <w:sz w:val="23"/>
          <w:szCs w:val="23"/>
        </w:rPr>
        <w:t>4.4  Individual Ensemble Member Analysis (EM-14)</w:t>
      </w:r>
    </w:p>
    <w:p w14:paraId="33149235" w14:textId="77777777" w:rsidR="00C9577E" w:rsidRDefault="00000000">
      <w:pPr>
        <w:spacing w:before="80" w:after="80" w:line="300" w:lineRule="auto"/>
        <w:jc w:val="both"/>
      </w:pPr>
      <w:r>
        <w:rPr>
          <w:color w:val="2C2C2C"/>
        </w:rPr>
        <w:t>EM-14 was identified as the individual member with the highest frequency of 95th-percentile exceedances. For December Lead-1, EM-14 achieved a PBias of +0.31, which while positive (slight overestimation), was significantly better than the mean ensemble PBias of −0.51. The 95th percentile achieved the best PBias at −0.009. In terms of ME, EM-14 recorded a positive mean error of +21.84 mm, contrasting with the mean ensemble's −79.75 mm and the 95th percentile's −26.19 mm. RSE for EM-14 was 0.31, intermediate between the mean (0.35) and 95th percentile (0.37). Correlation for all three was near zero, consistent with the daily-resolution findings.</w:t>
      </w:r>
    </w:p>
    <w:p w14:paraId="3739CBE1" w14:textId="77777777" w:rsidR="00C9577E" w:rsidRDefault="00C9577E">
      <w:pPr>
        <w:spacing w:after="60"/>
      </w:pPr>
    </w:p>
    <w:p w14:paraId="3F4F3B4C" w14:textId="77777777" w:rsidR="00C9577E" w:rsidRDefault="00000000">
      <w:pPr>
        <w:spacing w:before="80" w:after="80" w:line="300" w:lineRule="auto"/>
        <w:jc w:val="both"/>
      </w:pPr>
      <w:r>
        <w:rPr>
          <w:color w:val="2C2C2C"/>
        </w:rPr>
        <w:t>These results demonstrate that select individual ensemble members can provide valuable early-warning signals for extreme events, complementing the statistical ensemble approaches. They highlight a potential operational strategy: monitoring the distribution of individual member predictions alongside the 95th percentile ensemble statistic.</w:t>
      </w:r>
    </w:p>
    <w:p w14:paraId="5DA2B42A" w14:textId="77777777" w:rsidR="00C9577E" w:rsidRDefault="00C9577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C9577E" w14:paraId="1B91B6BC" w14:textId="77777777">
        <w:tc>
          <w:tcPr>
            <w:tcW w:w="9638" w:type="dxa"/>
            <w:tcBorders>
              <w:top w:val="single" w:sz="4" w:space="0" w:color="0A7B74"/>
              <w:left w:val="single" w:sz="4" w:space="0" w:color="0A7B74"/>
              <w:bottom w:val="single" w:sz="4" w:space="0" w:color="0A7B74"/>
              <w:right w:val="single" w:sz="4" w:space="0" w:color="0A7B74"/>
            </w:tcBorders>
            <w:shd w:val="clear" w:color="auto" w:fill="E6F4F3"/>
            <w:tcMar>
              <w:top w:w="160" w:type="dxa"/>
              <w:left w:w="240" w:type="dxa"/>
              <w:bottom w:w="160" w:type="dxa"/>
              <w:right w:w="240" w:type="dxa"/>
            </w:tcMar>
          </w:tcPr>
          <w:p w14:paraId="6BCA70D2" w14:textId="77777777" w:rsidR="00751B0C" w:rsidRDefault="00751B0C">
            <w:pPr>
              <w:jc w:val="center"/>
              <w:rPr>
                <w:b/>
                <w:bCs/>
                <w:color w:val="0A7B74"/>
              </w:rPr>
            </w:pPr>
          </w:p>
          <w:p w14:paraId="359796B3" w14:textId="0D70E47C" w:rsidR="00751B0C" w:rsidRDefault="00751B0C">
            <w:pPr>
              <w:jc w:val="center"/>
              <w:rPr>
                <w:b/>
                <w:bCs/>
                <w:color w:val="0A7B74"/>
              </w:rPr>
            </w:pPr>
            <w:r>
              <w:rPr>
                <w:rFonts w:ascii="Times New Roman" w:hAnsi="Times New Roman" w:cs="Times New Roman"/>
                <w:noProof/>
              </w:rPr>
              <w:lastRenderedPageBreak/>
              <w:drawing>
                <wp:inline distT="0" distB="0" distL="0" distR="0" wp14:anchorId="3EFA33D3" wp14:editId="1FA30A22">
                  <wp:extent cx="5786651" cy="1895453"/>
                  <wp:effectExtent l="0" t="0" r="5080" b="0"/>
                  <wp:docPr id="7451572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a:extLst>
                              <a:ext uri="{28A0092B-C50C-407E-A947-70E740481C1C}">
                                <a14:useLocalDpi xmlns:a14="http://schemas.microsoft.com/office/drawing/2010/main" val="0"/>
                              </a:ext>
                            </a:extLst>
                          </a:blip>
                          <a:srcRect l="298" t="2228" r="11944" b="2194"/>
                          <a:stretch/>
                        </pic:blipFill>
                        <pic:spPr bwMode="auto">
                          <a:xfrm>
                            <a:off x="0" y="0"/>
                            <a:ext cx="5809288" cy="1902868"/>
                          </a:xfrm>
                          <a:prstGeom prst="rect">
                            <a:avLst/>
                          </a:prstGeom>
                          <a:noFill/>
                          <a:ln>
                            <a:noFill/>
                          </a:ln>
                          <a:extLst>
                            <a:ext uri="{53640926-AAD7-44D8-BBD7-CCE9431645EC}">
                              <a14:shadowObscured xmlns:a14="http://schemas.microsoft.com/office/drawing/2010/main"/>
                            </a:ext>
                          </a:extLst>
                        </pic:spPr>
                      </pic:pic>
                    </a:graphicData>
                  </a:graphic>
                </wp:inline>
              </w:drawing>
            </w:r>
          </w:p>
          <w:p w14:paraId="45E69C21" w14:textId="50570640" w:rsidR="00C9577E" w:rsidRDefault="00000000">
            <w:pPr>
              <w:jc w:val="center"/>
            </w:pPr>
            <w:r>
              <w:rPr>
                <w:b/>
                <w:bCs/>
                <w:color w:val="0A7B74"/>
              </w:rPr>
              <w:t>📷  Figure 12 — EM-14 performance comparison: Bar chart comparing EM-14 vs. Mean vs. 95th percentile for PBias, COR, RSE, and Mean Error for December Lead-1</w:t>
            </w:r>
          </w:p>
          <w:p w14:paraId="3B0074E8" w14:textId="77777777" w:rsidR="00C9577E" w:rsidRDefault="00000000">
            <w:pPr>
              <w:spacing w:before="60"/>
              <w:jc w:val="center"/>
            </w:pPr>
            <w:r>
              <w:rPr>
                <w:i/>
                <w:iCs/>
                <w:color w:val="666666"/>
                <w:sz w:val="18"/>
                <w:szCs w:val="18"/>
              </w:rPr>
              <w:t>Source: 5_RP_Report.pdf — Page 27 (Figure 23) / 5_RP_Presentation.pdf — Page 15 (Slide 15)</w:t>
            </w:r>
          </w:p>
        </w:tc>
      </w:tr>
    </w:tbl>
    <w:p w14:paraId="360226C6" w14:textId="77777777" w:rsidR="00C041A8" w:rsidRPr="00C041A8" w:rsidRDefault="00C041A8" w:rsidP="00C041A8">
      <w:pPr>
        <w:spacing w:after="280"/>
      </w:pPr>
      <w:r>
        <w:lastRenderedPageBreak/>
        <w:br/>
      </w:r>
      <w:r>
        <w:br/>
      </w:r>
      <w:r w:rsidRPr="00C041A8">
        <w:rPr>
          <w:b/>
          <w:bCs/>
        </w:rPr>
        <w:t>5. Implications for Flood Management Decision-Making</w:t>
      </w:r>
    </w:p>
    <w:p w14:paraId="0B963BF2" w14:textId="77777777" w:rsidR="00C041A8" w:rsidRPr="00C041A8" w:rsidRDefault="00C041A8" w:rsidP="00C041A8">
      <w:pPr>
        <w:spacing w:after="280"/>
      </w:pPr>
      <w:r w:rsidRPr="00C041A8">
        <w:t>The ensemble skill results carry concrete operational implications across three planning horizons.</w:t>
      </w:r>
    </w:p>
    <w:p w14:paraId="1D86675E" w14:textId="77777777" w:rsidR="00C041A8" w:rsidRPr="00C041A8" w:rsidRDefault="00C041A8" w:rsidP="00C041A8">
      <w:pPr>
        <w:spacing w:after="280"/>
      </w:pPr>
      <w:r w:rsidRPr="00C041A8">
        <w:t xml:space="preserve">At </w:t>
      </w:r>
      <w:r w:rsidRPr="00C041A8">
        <w:rPr>
          <w:b/>
          <w:bCs/>
        </w:rPr>
        <w:t>Lead-1 to Lead-2</w:t>
      </w:r>
      <w:r w:rsidRPr="00C041A8">
        <w:t>, the 95th percentile provides reliable advance warning of above-normal precipitation. A practical decision rule: if the 95th percentile forecast for a given month exceeds 130% of the Weser Basin long-term monthly average, elevate flood preparedness to enhanced monitoring. Applied to November 2023, this would have triggered riverbank inspection, preliminary dyke reinforcement, equipment pre-positioning, and community alerts at least four weeks before the December flood peak. For average months, the mean ensemble remains a useful minimum-scenario baseline, while the 95th percentile should be treated as the high-impact scenario — the asymmetry of flood consequences strongly favours this conservative framing.</w:t>
      </w:r>
    </w:p>
    <w:p w14:paraId="48383A52" w14:textId="77777777" w:rsidR="00C041A8" w:rsidRPr="00C041A8" w:rsidRDefault="00C041A8" w:rsidP="00C041A8">
      <w:pPr>
        <w:spacing w:after="280"/>
      </w:pPr>
      <w:r w:rsidRPr="00C041A8">
        <w:t xml:space="preserve">At </w:t>
      </w:r>
      <w:r w:rsidRPr="00C041A8">
        <w:rPr>
          <w:b/>
          <w:bCs/>
        </w:rPr>
        <w:t>Lead-3 to Lead-6</w:t>
      </w:r>
      <w:r w:rsidRPr="00C041A8">
        <w:t>, the persistence of 95th percentile skill is operationally transformative. A PBias of +0.16 at Lead-5 and −0.09 at Lead-6 means a forecaster examining the July 2023 ensemble run had a statistically valid basis for anticipating an extreme December — six to seven months ahead. This horizon is sufficient to commission emergency reservoir drawdown, accelerate dyke maintenance, pre-negotiate upstream water release agreements, and initiate community preparedness campaigns. The Weser Basin has significantly fewer large dams than other major German river basins, and this infrastructure deficit directly amplifies flood risk in the northern lowlands. Long-lead ensemble warnings provide precisely the planning horizon needed to activate emergency reservoir operations where capacity exists.</w:t>
      </w:r>
    </w:p>
    <w:p w14:paraId="302225F8" w14:textId="77777777" w:rsidR="00C041A8" w:rsidRPr="00C041A8" w:rsidRDefault="00C041A8" w:rsidP="00C041A8">
      <w:pPr>
        <w:spacing w:after="280"/>
      </w:pPr>
      <w:r w:rsidRPr="00C041A8">
        <w:t xml:space="preserve">For the </w:t>
      </w:r>
      <w:r w:rsidRPr="00C041A8">
        <w:rPr>
          <w:b/>
          <w:bCs/>
        </w:rPr>
        <w:t>longer term</w:t>
      </w:r>
      <w:r w:rsidRPr="00C041A8">
        <w:t>, the 2023 event makes a compelling case for structural resilience investment: widening and deepening of the lower Weser channel, construction of polderised retention basins on the floodplain, earthen embankments at high-risk reaches, and expanded reservoir storage in the Hessian uplands and Thuringian Forest headwaters. Studies on analogous catchments have demonstrated flood risk reductions of 31–45% attributable to reservoir operations and river network connectivity improvements — comparable outcomes are achievable in the Weser catchment with sufficient advance planning enabled by ensemble early warning.</w:t>
      </w:r>
    </w:p>
    <w:p w14:paraId="29176E31" w14:textId="77777777" w:rsidR="00C041A8" w:rsidRPr="00C041A8" w:rsidRDefault="00C041A8" w:rsidP="00C041A8">
      <w:pPr>
        <w:spacing w:after="280"/>
      </w:pPr>
      <w:r w:rsidRPr="00C041A8">
        <w:t>Three operational caveats apply: (1) the 95th percentile overestimates precipitation in anomalously dry months — triggers should be conditioned on antecedent catchment water balance; (2) seasonal ensembles are monthly-scale probability tools, not day-by-day forecasts — operational frameworks must hand off to short-range NWP models as lead time decreases to days; (3) monitoring individual ensemble member plumes (as shown by EM-14) provides supplementary information not captured by aggregate statistics alone.</w:t>
      </w:r>
    </w:p>
    <w:p w14:paraId="401C0497" w14:textId="02EB1224" w:rsidR="00C9577E" w:rsidRDefault="00C9577E">
      <w:pPr>
        <w:spacing w:after="280"/>
      </w:pPr>
    </w:p>
    <w:p w14:paraId="0DE8FAD6" w14:textId="0B93D999" w:rsidR="00C9577E" w:rsidRDefault="00C041A8">
      <w:pPr>
        <w:shd w:val="clear" w:color="auto" w:fill="0A7B74"/>
        <w:spacing w:before="320" w:after="160"/>
        <w:ind w:left="120" w:right="120"/>
      </w:pPr>
      <w:r>
        <w:rPr>
          <w:b/>
          <w:bCs/>
          <w:color w:val="FFFFFF"/>
          <w:sz w:val="24"/>
          <w:szCs w:val="24"/>
        </w:rPr>
        <w:t>6. CONCLUSION</w:t>
      </w:r>
    </w:p>
    <w:p w14:paraId="3DEB9F63" w14:textId="77777777" w:rsidR="00C9577E" w:rsidRDefault="00C9577E">
      <w:pPr>
        <w:spacing w:after="80"/>
      </w:pPr>
    </w:p>
    <w:p w14:paraId="502C9590" w14:textId="77777777" w:rsidR="00C041A8" w:rsidRDefault="00C041A8" w:rsidP="00C041A8">
      <w:pPr>
        <w:pStyle w:val="font-claude-response-body"/>
        <w:numPr>
          <w:ilvl w:val="0"/>
          <w:numId w:val="2"/>
        </w:numPr>
      </w:pPr>
      <w:r>
        <w:t>This study evaluated the predictive skill of the DWD ICON-ALO seasonal ensemble for the Weser River Basin, with particular focus on the extreme flooding of December 2023. Eight principal conclusions emerge.</w:t>
      </w:r>
    </w:p>
    <w:p w14:paraId="59728B2E" w14:textId="77777777" w:rsidR="00C041A8" w:rsidRDefault="00C041A8" w:rsidP="00C041A8">
      <w:pPr>
        <w:pStyle w:val="font-claude-response-body"/>
        <w:numPr>
          <w:ilvl w:val="0"/>
          <w:numId w:val="2"/>
        </w:numPr>
      </w:pPr>
      <w:r>
        <w:t>The ensemble mean adequately captures average precipitation months (July, August, October) but systematically underestimates extreme events, reaching PBias −0.51 for December at Lead-1 — it cannot serve as a standalone flood warning tool for upper-tail conditions. The 95th percentile substantially outperforms the mean for extreme months, achieving near-zero PBias for November and December, and represents the most operationally useful summary statistic for flood risk assessment.</w:t>
      </w:r>
    </w:p>
    <w:p w14:paraId="1A5243B2" w14:textId="77777777" w:rsidR="00C041A8" w:rsidRDefault="00C041A8" w:rsidP="00C041A8">
      <w:pPr>
        <w:pStyle w:val="font-claude-response-body"/>
        <w:numPr>
          <w:ilvl w:val="0"/>
          <w:numId w:val="2"/>
        </w:numPr>
      </w:pPr>
      <w:r>
        <w:t>Most significantly, the 95th percentile maintains useful skill across all six lead times for December, including PBias −0.09 at Lead-6 — effectively a seven-month advance signal of the flood event. Daily COR values near zero across all leads are an inherent structural feature of seasonal forecasting, not a model deficiency, and should not be used as a primary verification metric. Individual member EM-14 outperformed the ensemble mean in PBias and ME for December, confirming the supplementary value of full-plume monitoring alongside aggregate statistics.</w:t>
      </w:r>
    </w:p>
    <w:p w14:paraId="293F6C11" w14:textId="77777777" w:rsidR="00C041A8" w:rsidRDefault="00C041A8" w:rsidP="00C041A8">
      <w:pPr>
        <w:pStyle w:val="font-claude-response-body"/>
        <w:numPr>
          <w:ilvl w:val="0"/>
          <w:numId w:val="2"/>
        </w:numPr>
      </w:pPr>
      <w:r>
        <w:t>Anomalously dry months such as September 2023 expose the 95th percentile's key structural vulnerability: extreme overestimation when antecedent conditions are below average. Operational application must therefore always be conditioned on the catchment water balance context.</w:t>
      </w:r>
    </w:p>
    <w:p w14:paraId="0121A1A5" w14:textId="77777777" w:rsidR="00C041A8" w:rsidRDefault="00C041A8" w:rsidP="00C041A8">
      <w:pPr>
        <w:pStyle w:val="font-claude-response-body"/>
        <w:numPr>
          <w:ilvl w:val="0"/>
          <w:numId w:val="2"/>
        </w:numPr>
      </w:pPr>
      <w:r>
        <w:t>For decision-makers, a formalised monthly monitoring protocol based on the 95th percentile of the DWD seasonal ensemble — with defined action thresholds at each lead time linked to specific infrastructure responses — would substantially improve flood preparedness in the Weser catchment and analogous mid-latitude basins. Long-term structural investment in reservoir expansion and channel improvement, informed by ensemble early warning, remains the most durable path to flood resilience in the northern Weser lowlands.</w:t>
      </w:r>
    </w:p>
    <w:p w14:paraId="60D1F69B" w14:textId="66331153" w:rsidR="00C9577E" w:rsidRDefault="00000000">
      <w:pPr>
        <w:pStyle w:val="ListParagraph"/>
        <w:numPr>
          <w:ilvl w:val="0"/>
          <w:numId w:val="2"/>
        </w:numPr>
        <w:spacing w:before="60" w:after="60"/>
      </w:pPr>
      <w:r>
        <w:rPr>
          <w:color w:val="2C2C2C"/>
        </w:rPr>
        <w:t>.</w:t>
      </w:r>
    </w:p>
    <w:p w14:paraId="71EE7AD6" w14:textId="77777777" w:rsidR="00C9577E" w:rsidRDefault="00C9577E">
      <w:pPr>
        <w:spacing w:after="200"/>
      </w:pPr>
    </w:p>
    <w:p w14:paraId="64EB5E79" w14:textId="77777777" w:rsidR="00C9577E" w:rsidRDefault="00000000">
      <w:pPr>
        <w:shd w:val="clear" w:color="auto" w:fill="0A7B74"/>
        <w:spacing w:before="320" w:after="160"/>
        <w:ind w:left="120" w:right="120"/>
      </w:pPr>
      <w:r>
        <w:rPr>
          <w:b/>
          <w:bCs/>
          <w:color w:val="FFFFFF"/>
          <w:sz w:val="24"/>
          <w:szCs w:val="24"/>
        </w:rPr>
        <w:t>IMAGE EXTRACTION GUIDE FOR PORTFOLIO PAGE</w:t>
      </w:r>
    </w:p>
    <w:p w14:paraId="3494362D" w14:textId="77777777" w:rsidR="00C9577E" w:rsidRDefault="00C9577E">
      <w:pPr>
        <w:spacing w:after="80"/>
      </w:pPr>
    </w:p>
    <w:p w14:paraId="34EF3D9B" w14:textId="77777777" w:rsidR="00C9577E" w:rsidRDefault="00000000">
      <w:pPr>
        <w:spacing w:before="80" w:after="80" w:line="300" w:lineRule="auto"/>
        <w:jc w:val="both"/>
      </w:pPr>
      <w:r>
        <w:rPr>
          <w:color w:val="2C2C2C"/>
        </w:rPr>
        <w:t>The following table summarises all recommended images and their precise source locations for use when building the portfolio HTML page:</w:t>
      </w:r>
    </w:p>
    <w:p w14:paraId="591B344E" w14:textId="77777777" w:rsidR="00C9577E" w:rsidRDefault="00C9577E">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9"/>
        <w:gridCol w:w="3373"/>
        <w:gridCol w:w="3373"/>
        <w:gridCol w:w="2313"/>
      </w:tblGrid>
      <w:tr w:rsidR="00C9577E" w14:paraId="333261F7" w14:textId="77777777">
        <w:tc>
          <w:tcPr>
            <w:tcW w:w="578"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03B27BBE" w14:textId="77777777" w:rsidR="00C9577E" w:rsidRDefault="00000000">
            <w:r>
              <w:rPr>
                <w:b/>
                <w:bCs/>
                <w:color w:val="FFFFFF"/>
                <w:sz w:val="18"/>
                <w:szCs w:val="18"/>
              </w:rPr>
              <w:t>#</w:t>
            </w:r>
          </w:p>
        </w:tc>
        <w:tc>
          <w:tcPr>
            <w:tcW w:w="3373"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7141CE9C" w14:textId="77777777" w:rsidR="00C9577E" w:rsidRDefault="00000000">
            <w:r>
              <w:rPr>
                <w:b/>
                <w:bCs/>
                <w:color w:val="FFFFFF"/>
                <w:sz w:val="18"/>
                <w:szCs w:val="18"/>
              </w:rPr>
              <w:t>Description</w:t>
            </w:r>
          </w:p>
        </w:tc>
        <w:tc>
          <w:tcPr>
            <w:tcW w:w="3373"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04A0256B" w14:textId="77777777" w:rsidR="00C9577E" w:rsidRDefault="00000000">
            <w:r>
              <w:rPr>
                <w:b/>
                <w:bCs/>
                <w:color w:val="FFFFFF"/>
                <w:sz w:val="18"/>
                <w:szCs w:val="18"/>
              </w:rPr>
              <w:t>Source File</w:t>
            </w:r>
          </w:p>
        </w:tc>
        <w:tc>
          <w:tcPr>
            <w:tcW w:w="2313" w:type="dxa"/>
            <w:tcBorders>
              <w:top w:val="single" w:sz="1" w:space="0" w:color="CCCCCC"/>
              <w:left w:val="single" w:sz="1" w:space="0" w:color="CCCCCC"/>
              <w:bottom w:val="single" w:sz="1" w:space="0" w:color="CCCCCC"/>
              <w:right w:val="single" w:sz="1" w:space="0" w:color="CCCCCC"/>
            </w:tcBorders>
            <w:shd w:val="clear" w:color="auto" w:fill="0A1628"/>
            <w:tcMar>
              <w:top w:w="60" w:type="dxa"/>
              <w:left w:w="80" w:type="dxa"/>
              <w:bottom w:w="60" w:type="dxa"/>
              <w:right w:w="80" w:type="dxa"/>
            </w:tcMar>
          </w:tcPr>
          <w:p w14:paraId="0EC83F55" w14:textId="77777777" w:rsidR="00C9577E" w:rsidRDefault="00000000">
            <w:r>
              <w:rPr>
                <w:b/>
                <w:bCs/>
                <w:color w:val="FFFFFF"/>
                <w:sz w:val="18"/>
                <w:szCs w:val="18"/>
              </w:rPr>
              <w:t>Page / Slide</w:t>
            </w:r>
          </w:p>
        </w:tc>
      </w:tr>
      <w:tr w:rsidR="00C9577E" w14:paraId="20E8EB02" w14:textId="77777777">
        <w:tc>
          <w:tcPr>
            <w:tcW w:w="5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EE52283" w14:textId="77777777" w:rsidR="00C9577E" w:rsidRDefault="00000000">
            <w:r>
              <w:rPr>
                <w:color w:val="2C2C2C"/>
                <w:sz w:val="18"/>
                <w:szCs w:val="18"/>
              </w:rPr>
              <w:t>1</w:t>
            </w:r>
          </w:p>
        </w:tc>
        <w:tc>
          <w:tcPr>
            <w:tcW w:w="337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769D701" w14:textId="77777777" w:rsidR="00C9577E" w:rsidRDefault="00000000">
            <w:r>
              <w:rPr>
                <w:color w:val="2C2C2C"/>
                <w:sz w:val="18"/>
                <w:szCs w:val="18"/>
              </w:rPr>
              <w:t>Study area — Google Earth + Topo map</w:t>
            </w:r>
          </w:p>
        </w:tc>
        <w:tc>
          <w:tcPr>
            <w:tcW w:w="337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26A0BEB" w14:textId="77777777" w:rsidR="00C9577E" w:rsidRDefault="00000000">
            <w:r>
              <w:rPr>
                <w:color w:val="2C2C2C"/>
                <w:sz w:val="18"/>
                <w:szCs w:val="18"/>
              </w:rPr>
              <w:t>5_RP_Report.pdf</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95805F2" w14:textId="77777777" w:rsidR="00C9577E" w:rsidRDefault="00000000">
            <w:r>
              <w:rPr>
                <w:color w:val="2C2C2C"/>
                <w:sz w:val="18"/>
                <w:szCs w:val="18"/>
              </w:rPr>
              <w:t>p. 9</w:t>
            </w:r>
          </w:p>
        </w:tc>
      </w:tr>
      <w:tr w:rsidR="00C9577E" w14:paraId="088BBF5D" w14:textId="77777777">
        <w:tc>
          <w:tcPr>
            <w:tcW w:w="578"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28C7A41" w14:textId="77777777" w:rsidR="00C9577E" w:rsidRDefault="00000000">
            <w:r>
              <w:rPr>
                <w:color w:val="2C2C2C"/>
                <w:sz w:val="18"/>
                <w:szCs w:val="18"/>
              </w:rPr>
              <w:t>2</w:t>
            </w:r>
          </w:p>
        </w:tc>
        <w:tc>
          <w:tcPr>
            <w:tcW w:w="337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023AD0E1" w14:textId="77777777" w:rsidR="00C9577E" w:rsidRDefault="00000000">
            <w:r>
              <w:rPr>
                <w:color w:val="2C2C2C"/>
                <w:sz w:val="18"/>
                <w:szCs w:val="18"/>
              </w:rPr>
              <w:t>EM grid + rain gauge locations</w:t>
            </w:r>
          </w:p>
        </w:tc>
        <w:tc>
          <w:tcPr>
            <w:tcW w:w="337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56C033C" w14:textId="77777777" w:rsidR="00C9577E" w:rsidRDefault="00000000">
            <w:r>
              <w:rPr>
                <w:color w:val="2C2C2C"/>
                <w:sz w:val="18"/>
                <w:szCs w:val="18"/>
              </w:rPr>
              <w:t>5_RP_Report.pdf</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3BC4D0D1" w14:textId="77777777" w:rsidR="00C9577E" w:rsidRDefault="00000000">
            <w:r>
              <w:rPr>
                <w:color w:val="2C2C2C"/>
                <w:sz w:val="18"/>
                <w:szCs w:val="18"/>
              </w:rPr>
              <w:t>p. 10</w:t>
            </w:r>
          </w:p>
        </w:tc>
      </w:tr>
      <w:tr w:rsidR="00C9577E" w14:paraId="4947AEDB" w14:textId="77777777">
        <w:tc>
          <w:tcPr>
            <w:tcW w:w="5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43919AA" w14:textId="77777777" w:rsidR="00C9577E" w:rsidRDefault="00000000">
            <w:r>
              <w:rPr>
                <w:color w:val="2C2C2C"/>
                <w:sz w:val="18"/>
                <w:szCs w:val="18"/>
              </w:rPr>
              <w:t>3</w:t>
            </w:r>
          </w:p>
        </w:tc>
        <w:tc>
          <w:tcPr>
            <w:tcW w:w="337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D9A8884" w14:textId="77777777" w:rsidR="00C9577E" w:rsidRDefault="00000000">
            <w:r>
              <w:rPr>
                <w:color w:val="2C2C2C"/>
                <w:sz w:val="18"/>
                <w:szCs w:val="18"/>
              </w:rPr>
              <w:t>Voronoi interpolation (gauges → EM grid)</w:t>
            </w:r>
          </w:p>
        </w:tc>
        <w:tc>
          <w:tcPr>
            <w:tcW w:w="337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C74103D" w14:textId="77777777" w:rsidR="00C9577E" w:rsidRDefault="00000000">
            <w:r>
              <w:rPr>
                <w:color w:val="2C2C2C"/>
                <w:sz w:val="18"/>
                <w:szCs w:val="18"/>
              </w:rPr>
              <w:t>5_RP_Report.pdf / Presentation</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B9FB74C" w14:textId="77777777" w:rsidR="00C9577E" w:rsidRDefault="00000000">
            <w:r>
              <w:rPr>
                <w:color w:val="2C2C2C"/>
                <w:sz w:val="18"/>
                <w:szCs w:val="18"/>
              </w:rPr>
              <w:t>p. 13 / Slide 7</w:t>
            </w:r>
          </w:p>
        </w:tc>
      </w:tr>
      <w:tr w:rsidR="00C9577E" w14:paraId="3E3EB772" w14:textId="77777777">
        <w:tc>
          <w:tcPr>
            <w:tcW w:w="578"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E0BF600" w14:textId="77777777" w:rsidR="00C9577E" w:rsidRDefault="00000000">
            <w:r>
              <w:rPr>
                <w:color w:val="2C2C2C"/>
                <w:sz w:val="18"/>
                <w:szCs w:val="18"/>
              </w:rPr>
              <w:t>4</w:t>
            </w:r>
          </w:p>
        </w:tc>
        <w:tc>
          <w:tcPr>
            <w:tcW w:w="337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0BE9542A" w14:textId="77777777" w:rsidR="00C9577E" w:rsidRDefault="00000000">
            <w:r>
              <w:rPr>
                <w:color w:val="2C2C2C"/>
                <w:sz w:val="18"/>
                <w:szCs w:val="18"/>
              </w:rPr>
              <w:t>Monthly spatial precipitation maps (Jul–Dec)</w:t>
            </w:r>
          </w:p>
        </w:tc>
        <w:tc>
          <w:tcPr>
            <w:tcW w:w="337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14E93E5" w14:textId="77777777" w:rsidR="00C9577E" w:rsidRDefault="00000000">
            <w:r>
              <w:rPr>
                <w:color w:val="2C2C2C"/>
                <w:sz w:val="18"/>
                <w:szCs w:val="18"/>
              </w:rPr>
              <w:t>5_RP_Report.pdf</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0E8C7A5B" w14:textId="77777777" w:rsidR="00C9577E" w:rsidRDefault="00000000">
            <w:r>
              <w:rPr>
                <w:color w:val="2C2C2C"/>
                <w:sz w:val="18"/>
                <w:szCs w:val="18"/>
              </w:rPr>
              <w:t>p. 14</w:t>
            </w:r>
          </w:p>
        </w:tc>
      </w:tr>
      <w:tr w:rsidR="00C9577E" w14:paraId="1EBE9A39" w14:textId="77777777">
        <w:tc>
          <w:tcPr>
            <w:tcW w:w="5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71067B6" w14:textId="77777777" w:rsidR="00C9577E" w:rsidRDefault="00000000">
            <w:r>
              <w:rPr>
                <w:color w:val="2C2C2C"/>
                <w:sz w:val="18"/>
                <w:szCs w:val="18"/>
              </w:rPr>
              <w:t>5</w:t>
            </w:r>
          </w:p>
        </w:tc>
        <w:tc>
          <w:tcPr>
            <w:tcW w:w="337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B6755AF" w14:textId="77777777" w:rsidR="00C9577E" w:rsidRDefault="00000000">
            <w:r>
              <w:rPr>
                <w:color w:val="2C2C2C"/>
                <w:sz w:val="18"/>
                <w:szCs w:val="18"/>
              </w:rPr>
              <w:t>Monthly avg precipitation bar chart</w:t>
            </w:r>
          </w:p>
        </w:tc>
        <w:tc>
          <w:tcPr>
            <w:tcW w:w="337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64EE6A0" w14:textId="77777777" w:rsidR="00C9577E" w:rsidRDefault="00000000">
            <w:r>
              <w:rPr>
                <w:color w:val="2C2C2C"/>
                <w:sz w:val="18"/>
                <w:szCs w:val="18"/>
              </w:rPr>
              <w:t>5_RP_Report.pdf / Presentation</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BF26FF9" w14:textId="77777777" w:rsidR="00C9577E" w:rsidRDefault="00000000">
            <w:r>
              <w:rPr>
                <w:color w:val="2C2C2C"/>
                <w:sz w:val="18"/>
                <w:szCs w:val="18"/>
              </w:rPr>
              <w:t>p. 14 / Slide 3</w:t>
            </w:r>
          </w:p>
        </w:tc>
      </w:tr>
      <w:tr w:rsidR="00C9577E" w14:paraId="5E337DC4" w14:textId="77777777">
        <w:tc>
          <w:tcPr>
            <w:tcW w:w="578"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12F2C71" w14:textId="77777777" w:rsidR="00C9577E" w:rsidRDefault="00000000">
            <w:r>
              <w:rPr>
                <w:color w:val="2C2C2C"/>
                <w:sz w:val="18"/>
                <w:szCs w:val="18"/>
              </w:rPr>
              <w:lastRenderedPageBreak/>
              <w:t>6</w:t>
            </w:r>
          </w:p>
        </w:tc>
        <w:tc>
          <w:tcPr>
            <w:tcW w:w="337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9C89336" w14:textId="77777777" w:rsidR="00C9577E" w:rsidRDefault="00000000">
            <w:r>
              <w:rPr>
                <w:color w:val="2C2C2C"/>
                <w:sz w:val="18"/>
                <w:szCs w:val="18"/>
              </w:rPr>
              <w:t>Mean PBias spatial maps (Lead-1, Jul–Dec)</w:t>
            </w:r>
          </w:p>
        </w:tc>
        <w:tc>
          <w:tcPr>
            <w:tcW w:w="337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7EC4663D" w14:textId="77777777" w:rsidR="00C9577E" w:rsidRDefault="00000000">
            <w:r>
              <w:rPr>
                <w:color w:val="2C2C2C"/>
                <w:sz w:val="18"/>
                <w:szCs w:val="18"/>
              </w:rPr>
              <w:t>5_RP_Report.pdf / Presentation</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4F933A61" w14:textId="77777777" w:rsidR="00C9577E" w:rsidRDefault="00000000">
            <w:r>
              <w:rPr>
                <w:color w:val="2C2C2C"/>
                <w:sz w:val="18"/>
                <w:szCs w:val="18"/>
              </w:rPr>
              <w:t>p. 18 / Slide 10</w:t>
            </w:r>
          </w:p>
        </w:tc>
      </w:tr>
      <w:tr w:rsidR="00C9577E" w14:paraId="4131A36E" w14:textId="77777777">
        <w:tc>
          <w:tcPr>
            <w:tcW w:w="5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86CC2EF" w14:textId="77777777" w:rsidR="00C9577E" w:rsidRDefault="00000000">
            <w:r>
              <w:rPr>
                <w:color w:val="2C2C2C"/>
                <w:sz w:val="18"/>
                <w:szCs w:val="18"/>
              </w:rPr>
              <w:t>7</w:t>
            </w:r>
          </w:p>
        </w:tc>
        <w:tc>
          <w:tcPr>
            <w:tcW w:w="337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F7F38E4" w14:textId="77777777" w:rsidR="00C9577E" w:rsidRDefault="00000000">
            <w:r>
              <w:rPr>
                <w:color w:val="2C2C2C"/>
                <w:sz w:val="18"/>
                <w:szCs w:val="18"/>
              </w:rPr>
              <w:t>Mean PBias time series (Lead-1 chart)</w:t>
            </w:r>
          </w:p>
        </w:tc>
        <w:tc>
          <w:tcPr>
            <w:tcW w:w="337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EB67C96" w14:textId="77777777" w:rsidR="00C9577E" w:rsidRDefault="00000000">
            <w:r>
              <w:rPr>
                <w:color w:val="2C2C2C"/>
                <w:sz w:val="18"/>
                <w:szCs w:val="18"/>
              </w:rPr>
              <w:t>5_RP_Report.pdf / Presentation</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9D666C6" w14:textId="77777777" w:rsidR="00C9577E" w:rsidRDefault="00000000">
            <w:r>
              <w:rPr>
                <w:color w:val="2C2C2C"/>
                <w:sz w:val="18"/>
                <w:szCs w:val="18"/>
              </w:rPr>
              <w:t>p. 19 / Slide 10</w:t>
            </w:r>
          </w:p>
        </w:tc>
      </w:tr>
      <w:tr w:rsidR="00C9577E" w14:paraId="31290DD5" w14:textId="77777777">
        <w:tc>
          <w:tcPr>
            <w:tcW w:w="578"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28578336" w14:textId="77777777" w:rsidR="00C9577E" w:rsidRDefault="00000000">
            <w:r>
              <w:rPr>
                <w:color w:val="2C2C2C"/>
                <w:sz w:val="18"/>
                <w:szCs w:val="18"/>
              </w:rPr>
              <w:t>8</w:t>
            </w:r>
          </w:p>
        </w:tc>
        <w:tc>
          <w:tcPr>
            <w:tcW w:w="337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405176B3" w14:textId="77777777" w:rsidR="00C9577E" w:rsidRDefault="00000000">
            <w:r>
              <w:rPr>
                <w:color w:val="2C2C2C"/>
                <w:sz w:val="18"/>
                <w:szCs w:val="18"/>
              </w:rPr>
              <w:t>IQR PBias comparison plot (all months)</w:t>
            </w:r>
          </w:p>
        </w:tc>
        <w:tc>
          <w:tcPr>
            <w:tcW w:w="337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04380D4" w14:textId="77777777" w:rsidR="00C9577E" w:rsidRDefault="00000000">
            <w:r>
              <w:rPr>
                <w:color w:val="2C2C2C"/>
                <w:sz w:val="18"/>
                <w:szCs w:val="18"/>
              </w:rPr>
              <w:t>5_RP_Report.pdf / Presentation</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08B209A7" w14:textId="77777777" w:rsidR="00C9577E" w:rsidRDefault="00000000">
            <w:r>
              <w:rPr>
                <w:color w:val="2C2C2C"/>
                <w:sz w:val="18"/>
                <w:szCs w:val="18"/>
              </w:rPr>
              <w:t>p. 20 / Slide 11</w:t>
            </w:r>
          </w:p>
        </w:tc>
      </w:tr>
      <w:tr w:rsidR="00C9577E" w14:paraId="3A208FEC" w14:textId="77777777">
        <w:tc>
          <w:tcPr>
            <w:tcW w:w="5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F0466C5" w14:textId="77777777" w:rsidR="00C9577E" w:rsidRDefault="00000000">
            <w:r>
              <w:rPr>
                <w:color w:val="2C2C2C"/>
                <w:sz w:val="18"/>
                <w:szCs w:val="18"/>
              </w:rPr>
              <w:t>9</w:t>
            </w:r>
          </w:p>
        </w:tc>
        <w:tc>
          <w:tcPr>
            <w:tcW w:w="337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6E7447F" w14:textId="77777777" w:rsidR="00C9577E" w:rsidRDefault="00000000">
            <w:r>
              <w:rPr>
                <w:color w:val="2C2C2C"/>
                <w:sz w:val="18"/>
                <w:szCs w:val="18"/>
              </w:rPr>
              <w:t>Dec 95th pctile spatial maps (Lead 1–6)</w:t>
            </w:r>
          </w:p>
        </w:tc>
        <w:tc>
          <w:tcPr>
            <w:tcW w:w="337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13B8710" w14:textId="77777777" w:rsidR="00C9577E" w:rsidRDefault="00000000">
            <w:r>
              <w:rPr>
                <w:color w:val="2C2C2C"/>
                <w:sz w:val="18"/>
                <w:szCs w:val="18"/>
              </w:rPr>
              <w:t>5_RP_Report.pdf</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3B9633A" w14:textId="77777777" w:rsidR="00C9577E" w:rsidRDefault="00000000">
            <w:r>
              <w:rPr>
                <w:color w:val="2C2C2C"/>
                <w:sz w:val="18"/>
                <w:szCs w:val="18"/>
              </w:rPr>
              <w:t>p. 22</w:t>
            </w:r>
          </w:p>
        </w:tc>
      </w:tr>
      <w:tr w:rsidR="00C9577E" w14:paraId="64EC40AE" w14:textId="77777777">
        <w:tc>
          <w:tcPr>
            <w:tcW w:w="578"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0E3E2123" w14:textId="77777777" w:rsidR="00C9577E" w:rsidRDefault="00000000">
            <w:r>
              <w:rPr>
                <w:color w:val="2C2C2C"/>
                <w:sz w:val="18"/>
                <w:szCs w:val="18"/>
              </w:rPr>
              <w:t>10</w:t>
            </w:r>
          </w:p>
        </w:tc>
        <w:tc>
          <w:tcPr>
            <w:tcW w:w="337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0089EB60" w14:textId="77777777" w:rsidR="00C9577E" w:rsidRDefault="00000000">
            <w:r>
              <w:rPr>
                <w:color w:val="2C2C2C"/>
                <w:sz w:val="18"/>
                <w:szCs w:val="18"/>
              </w:rPr>
              <w:t>Dec PBias by lead time (95th pctile chart)</w:t>
            </w:r>
          </w:p>
        </w:tc>
        <w:tc>
          <w:tcPr>
            <w:tcW w:w="337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46176311" w14:textId="77777777" w:rsidR="00C9577E" w:rsidRDefault="00000000">
            <w:r>
              <w:rPr>
                <w:color w:val="2C2C2C"/>
                <w:sz w:val="18"/>
                <w:szCs w:val="18"/>
              </w:rPr>
              <w:t>5_RP_Report.pdf / Presentation</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0A406EED" w14:textId="77777777" w:rsidR="00C9577E" w:rsidRDefault="00000000">
            <w:r>
              <w:rPr>
                <w:color w:val="2C2C2C"/>
                <w:sz w:val="18"/>
                <w:szCs w:val="18"/>
              </w:rPr>
              <w:t>p. 22 / Slide 12</w:t>
            </w:r>
          </w:p>
        </w:tc>
      </w:tr>
      <w:tr w:rsidR="00C9577E" w14:paraId="2840BF3D" w14:textId="77777777">
        <w:tc>
          <w:tcPr>
            <w:tcW w:w="57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67A3118" w14:textId="77777777" w:rsidR="00C9577E" w:rsidRDefault="00000000">
            <w:r>
              <w:rPr>
                <w:color w:val="2C2C2C"/>
                <w:sz w:val="18"/>
                <w:szCs w:val="18"/>
              </w:rPr>
              <w:t>11</w:t>
            </w:r>
          </w:p>
        </w:tc>
        <w:tc>
          <w:tcPr>
            <w:tcW w:w="337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8BA566A" w14:textId="77777777" w:rsidR="00C9577E" w:rsidRDefault="00000000">
            <w:r>
              <w:rPr>
                <w:color w:val="2C2C2C"/>
                <w:sz w:val="18"/>
                <w:szCs w:val="18"/>
              </w:rPr>
              <w:t>Dec Mean Error + RSE comparison charts</w:t>
            </w:r>
          </w:p>
        </w:tc>
        <w:tc>
          <w:tcPr>
            <w:tcW w:w="337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F91DB2E" w14:textId="77777777" w:rsidR="00C9577E" w:rsidRDefault="00000000">
            <w:r>
              <w:rPr>
                <w:color w:val="2C2C2C"/>
                <w:sz w:val="18"/>
                <w:szCs w:val="18"/>
              </w:rPr>
              <w:t>5_RP_Report.pdf</w:t>
            </w:r>
          </w:p>
        </w:tc>
        <w:tc>
          <w:tcPr>
            <w:tcW w:w="2313"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9922FCD" w14:textId="77777777" w:rsidR="00C9577E" w:rsidRDefault="00000000">
            <w:r>
              <w:rPr>
                <w:color w:val="2C2C2C"/>
                <w:sz w:val="18"/>
                <w:szCs w:val="18"/>
              </w:rPr>
              <w:t>pp. 25–26</w:t>
            </w:r>
          </w:p>
        </w:tc>
      </w:tr>
      <w:tr w:rsidR="00C9577E" w14:paraId="21322DB3" w14:textId="77777777">
        <w:tc>
          <w:tcPr>
            <w:tcW w:w="578"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56F552FD" w14:textId="77777777" w:rsidR="00C9577E" w:rsidRDefault="00000000">
            <w:r>
              <w:rPr>
                <w:color w:val="2C2C2C"/>
                <w:sz w:val="18"/>
                <w:szCs w:val="18"/>
              </w:rPr>
              <w:t>12</w:t>
            </w:r>
          </w:p>
        </w:tc>
        <w:tc>
          <w:tcPr>
            <w:tcW w:w="337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C7D86DC" w14:textId="77777777" w:rsidR="00C9577E" w:rsidRDefault="00000000">
            <w:r>
              <w:rPr>
                <w:color w:val="2C2C2C"/>
                <w:sz w:val="18"/>
                <w:szCs w:val="18"/>
              </w:rPr>
              <w:t>EM-14 performance bar chart + spatial maps</w:t>
            </w:r>
          </w:p>
        </w:tc>
        <w:tc>
          <w:tcPr>
            <w:tcW w:w="337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16AB5C53" w14:textId="77777777" w:rsidR="00C9577E" w:rsidRDefault="00000000">
            <w:r>
              <w:rPr>
                <w:color w:val="2C2C2C"/>
                <w:sz w:val="18"/>
                <w:szCs w:val="18"/>
              </w:rPr>
              <w:t>5_RP_Report.pdf / Presentation</w:t>
            </w:r>
          </w:p>
        </w:tc>
        <w:tc>
          <w:tcPr>
            <w:tcW w:w="2313" w:type="dxa"/>
            <w:tcBorders>
              <w:top w:val="single" w:sz="1" w:space="0" w:color="CCCCCC"/>
              <w:left w:val="single" w:sz="1" w:space="0" w:color="CCCCCC"/>
              <w:bottom w:val="single" w:sz="1" w:space="0" w:color="CCCCCC"/>
              <w:right w:val="single" w:sz="1" w:space="0" w:color="CCCCCC"/>
            </w:tcBorders>
            <w:shd w:val="clear" w:color="auto" w:fill="E6F4F3"/>
            <w:tcMar>
              <w:top w:w="60" w:type="dxa"/>
              <w:left w:w="80" w:type="dxa"/>
              <w:bottom w:w="60" w:type="dxa"/>
              <w:right w:w="80" w:type="dxa"/>
            </w:tcMar>
          </w:tcPr>
          <w:p w14:paraId="47018AAF" w14:textId="77777777" w:rsidR="00C9577E" w:rsidRDefault="00000000">
            <w:r>
              <w:rPr>
                <w:color w:val="2C2C2C"/>
                <w:sz w:val="18"/>
                <w:szCs w:val="18"/>
              </w:rPr>
              <w:t>p. 27 / Slide 15</w:t>
            </w:r>
          </w:p>
        </w:tc>
      </w:tr>
    </w:tbl>
    <w:p w14:paraId="1D0FE281" w14:textId="77777777" w:rsidR="00C9577E" w:rsidRDefault="00C9577E">
      <w:pPr>
        <w:spacing w:after="200"/>
      </w:pPr>
    </w:p>
    <w:sectPr w:rsidR="00C9577E">
      <w:headerReference w:type="default" r:id="rId21"/>
      <w:footerReference w:type="default" r:id="rId2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74437" w14:textId="77777777" w:rsidR="00741200" w:rsidRDefault="00741200">
      <w:r>
        <w:separator/>
      </w:r>
    </w:p>
  </w:endnote>
  <w:endnote w:type="continuationSeparator" w:id="0">
    <w:p w14:paraId="7110E4A2" w14:textId="77777777" w:rsidR="00741200" w:rsidRDefault="00741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8227D" w14:textId="77777777" w:rsidR="00C9577E" w:rsidRDefault="00000000">
    <w:pPr>
      <w:pBdr>
        <w:top w:val="single" w:sz="4" w:space="4" w:color="0A7B74"/>
      </w:pBdr>
      <w:tabs>
        <w:tab w:val="right" w:pos="9638"/>
      </w:tabs>
    </w:pPr>
    <w:r>
      <w:rPr>
        <w:color w:val="0A7B74"/>
        <w:sz w:val="16"/>
        <w:szCs w:val="16"/>
      </w:rPr>
      <w:t>https://kabirks29-piw.github.io/portfolio-kabir/</w:t>
    </w:r>
    <w:r>
      <w:rPr>
        <w:sz w:val="16"/>
        <w:szCs w:val="16"/>
      </w:rPr>
      <w:tab/>
    </w:r>
    <w:r>
      <w:rPr>
        <w:color w:val="0A1628"/>
        <w:sz w:val="16"/>
        <w:szCs w:val="16"/>
      </w:rPr>
      <w:t>kabir.kundapur.sheik@stud.uni-hannover.de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D122B" w14:textId="77777777" w:rsidR="00741200" w:rsidRDefault="00741200">
      <w:r>
        <w:separator/>
      </w:r>
    </w:p>
  </w:footnote>
  <w:footnote w:type="continuationSeparator" w:id="0">
    <w:p w14:paraId="243141DF" w14:textId="77777777" w:rsidR="00741200" w:rsidRDefault="007412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B51FE" w14:textId="77777777" w:rsidR="00C9577E" w:rsidRDefault="00000000">
    <w:pPr>
      <w:pBdr>
        <w:bottom w:val="single" w:sz="6" w:space="4" w:color="0A7B74"/>
      </w:pBdr>
      <w:jc w:val="center"/>
    </w:pPr>
    <w:r>
      <w:rPr>
        <w:b/>
        <w:bCs/>
        <w:color w:val="0A1628"/>
        <w:sz w:val="18"/>
        <w:szCs w:val="18"/>
      </w:rPr>
      <w:t>Kabir Kundapur Sheik  |  M.Sc. WATENV  |  Leibniz Universität Hannover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981F33"/>
    <w:multiLevelType w:val="hybridMultilevel"/>
    <w:tmpl w:val="915CE5AA"/>
    <w:lvl w:ilvl="0" w:tplc="68B0AAF2">
      <w:start w:val="1"/>
      <w:numFmt w:val="bullet"/>
      <w:lvlText w:val="●"/>
      <w:lvlJc w:val="left"/>
      <w:pPr>
        <w:ind w:left="720" w:hanging="360"/>
      </w:pPr>
    </w:lvl>
    <w:lvl w:ilvl="1" w:tplc="9A42490E">
      <w:start w:val="1"/>
      <w:numFmt w:val="bullet"/>
      <w:lvlText w:val="○"/>
      <w:lvlJc w:val="left"/>
      <w:pPr>
        <w:ind w:left="1440" w:hanging="360"/>
      </w:pPr>
    </w:lvl>
    <w:lvl w:ilvl="2" w:tplc="2F10F5E0">
      <w:start w:val="1"/>
      <w:numFmt w:val="bullet"/>
      <w:lvlText w:val="■"/>
      <w:lvlJc w:val="left"/>
      <w:pPr>
        <w:ind w:left="2160" w:hanging="360"/>
      </w:pPr>
    </w:lvl>
    <w:lvl w:ilvl="3" w:tplc="444A564C">
      <w:start w:val="1"/>
      <w:numFmt w:val="bullet"/>
      <w:lvlText w:val="●"/>
      <w:lvlJc w:val="left"/>
      <w:pPr>
        <w:ind w:left="2880" w:hanging="360"/>
      </w:pPr>
    </w:lvl>
    <w:lvl w:ilvl="4" w:tplc="374242B2">
      <w:start w:val="1"/>
      <w:numFmt w:val="bullet"/>
      <w:lvlText w:val="○"/>
      <w:lvlJc w:val="left"/>
      <w:pPr>
        <w:ind w:left="3600" w:hanging="360"/>
      </w:pPr>
    </w:lvl>
    <w:lvl w:ilvl="5" w:tplc="F2EC0636">
      <w:start w:val="1"/>
      <w:numFmt w:val="bullet"/>
      <w:lvlText w:val="■"/>
      <w:lvlJc w:val="left"/>
      <w:pPr>
        <w:ind w:left="4320" w:hanging="360"/>
      </w:pPr>
    </w:lvl>
    <w:lvl w:ilvl="6" w:tplc="C838AF38">
      <w:start w:val="1"/>
      <w:numFmt w:val="bullet"/>
      <w:lvlText w:val="●"/>
      <w:lvlJc w:val="left"/>
      <w:pPr>
        <w:ind w:left="5040" w:hanging="360"/>
      </w:pPr>
    </w:lvl>
    <w:lvl w:ilvl="7" w:tplc="8B04A9D8">
      <w:start w:val="1"/>
      <w:numFmt w:val="bullet"/>
      <w:lvlText w:val="●"/>
      <w:lvlJc w:val="left"/>
      <w:pPr>
        <w:ind w:left="5760" w:hanging="360"/>
      </w:pPr>
    </w:lvl>
    <w:lvl w:ilvl="8" w:tplc="2E60825A">
      <w:start w:val="1"/>
      <w:numFmt w:val="bullet"/>
      <w:lvlText w:val="●"/>
      <w:lvlJc w:val="left"/>
      <w:pPr>
        <w:ind w:left="6480" w:hanging="360"/>
      </w:pPr>
    </w:lvl>
  </w:abstractNum>
  <w:abstractNum w:abstractNumId="1" w15:restartNumberingAfterBreak="0">
    <w:nsid w:val="701345B1"/>
    <w:multiLevelType w:val="hybridMultilevel"/>
    <w:tmpl w:val="BE4886DC"/>
    <w:lvl w:ilvl="0" w:tplc="4BD6DC46">
      <w:start w:val="1"/>
      <w:numFmt w:val="bullet"/>
      <w:lvlText w:val="▸"/>
      <w:lvlJc w:val="left"/>
      <w:pPr>
        <w:ind w:left="600" w:hanging="360"/>
      </w:pPr>
      <w:rPr>
        <w:rFonts w:ascii="Arial" w:eastAsia="Arial" w:hAnsi="Arial" w:cs="Arial"/>
        <w:color w:val="0A7B74"/>
      </w:rPr>
    </w:lvl>
    <w:lvl w:ilvl="1" w:tplc="EBF00026">
      <w:numFmt w:val="decimal"/>
      <w:lvlText w:val=""/>
      <w:lvlJc w:val="left"/>
    </w:lvl>
    <w:lvl w:ilvl="2" w:tplc="FCD06AE2">
      <w:numFmt w:val="decimal"/>
      <w:lvlText w:val=""/>
      <w:lvlJc w:val="left"/>
    </w:lvl>
    <w:lvl w:ilvl="3" w:tplc="BF0CE1BA">
      <w:numFmt w:val="decimal"/>
      <w:lvlText w:val=""/>
      <w:lvlJc w:val="left"/>
    </w:lvl>
    <w:lvl w:ilvl="4" w:tplc="4AA400A6">
      <w:numFmt w:val="decimal"/>
      <w:lvlText w:val=""/>
      <w:lvlJc w:val="left"/>
    </w:lvl>
    <w:lvl w:ilvl="5" w:tplc="2EC6C918">
      <w:numFmt w:val="decimal"/>
      <w:lvlText w:val=""/>
      <w:lvlJc w:val="left"/>
    </w:lvl>
    <w:lvl w:ilvl="6" w:tplc="34143FF4">
      <w:numFmt w:val="decimal"/>
      <w:lvlText w:val=""/>
      <w:lvlJc w:val="left"/>
    </w:lvl>
    <w:lvl w:ilvl="7" w:tplc="EFC4C606">
      <w:numFmt w:val="decimal"/>
      <w:lvlText w:val=""/>
      <w:lvlJc w:val="left"/>
    </w:lvl>
    <w:lvl w:ilvl="8" w:tplc="76563240">
      <w:numFmt w:val="decimal"/>
      <w:lvlText w:val=""/>
      <w:lvlJc w:val="left"/>
    </w:lvl>
  </w:abstractNum>
  <w:num w:numId="1" w16cid:durableId="2031686908">
    <w:abstractNumId w:val="0"/>
    <w:lvlOverride w:ilvl="0">
      <w:startOverride w:val="1"/>
    </w:lvlOverride>
  </w:num>
  <w:num w:numId="2" w16cid:durableId="7136960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77E"/>
    <w:rsid w:val="00035CA1"/>
    <w:rsid w:val="00162CD6"/>
    <w:rsid w:val="00391D9E"/>
    <w:rsid w:val="005C6D42"/>
    <w:rsid w:val="00741200"/>
    <w:rsid w:val="00751B0C"/>
    <w:rsid w:val="009278FB"/>
    <w:rsid w:val="00C041A8"/>
    <w:rsid w:val="00C957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D37D1"/>
  <w15:docId w15:val="{3F66B109-E76B-4A1D-9AB7-C9DF6EFB9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5C6D42"/>
    <w:rPr>
      <w:rFonts w:asciiTheme="minorHAnsi" w:eastAsiaTheme="minorEastAsia"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C041A8"/>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2916</Words>
  <Characters>16625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Kabir K S</cp:lastModifiedBy>
  <cp:revision>4</cp:revision>
  <dcterms:created xsi:type="dcterms:W3CDTF">2026-03-25T19:04:00Z</dcterms:created>
  <dcterms:modified xsi:type="dcterms:W3CDTF">2026-03-25T22:16:00Z</dcterms:modified>
</cp:coreProperties>
</file>