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5CD2" w14:textId="77777777" w:rsidR="00E46E76" w:rsidRDefault="00E46E76">
      <w:pPr>
        <w:spacing w:after="200"/>
      </w:pPr>
    </w:p>
    <w:p w14:paraId="5444B33A" w14:textId="77777777" w:rsidR="00E46E76" w:rsidRDefault="00000000">
      <w:pPr>
        <w:shd w:val="clear" w:color="auto" w:fill="0A1628"/>
        <w:spacing w:before="200" w:after="200"/>
        <w:ind w:left="200" w:right="200"/>
        <w:jc w:val="center"/>
      </w:pPr>
      <w:r>
        <w:rPr>
          <w:b/>
          <w:bCs/>
          <w:color w:val="FFFFFF"/>
          <w:sz w:val="36"/>
          <w:szCs w:val="36"/>
        </w:rPr>
        <w:t>Hydrological Modelling — Hahle Catchment</w:t>
      </w:r>
    </w:p>
    <w:p w14:paraId="6A9C8C7A" w14:textId="77777777" w:rsidR="00E46E76" w:rsidRDefault="00000000">
      <w:pPr>
        <w:spacing w:before="200" w:after="80"/>
        <w:jc w:val="center"/>
      </w:pPr>
      <w:r>
        <w:rPr>
          <w:b/>
          <w:bCs/>
          <w:color w:val="0A7B74"/>
          <w:sz w:val="26"/>
          <w:szCs w:val="26"/>
        </w:rPr>
        <w:t>Semi-Distributed HBV-IWW Rainfall-Runoff Modelling, Flood Frequency Analysis &amp; Sensitivity Calibration</w:t>
      </w:r>
    </w:p>
    <w:p w14:paraId="12C602BC" w14:textId="77777777" w:rsidR="00E46E76" w:rsidRDefault="00000000">
      <w:pPr>
        <w:spacing w:after="240"/>
        <w:jc w:val="center"/>
      </w:pPr>
      <w:r>
        <w:rPr>
          <w:i/>
          <w:iCs/>
          <w:color w:val="555555"/>
          <w:sz w:val="20"/>
          <w:szCs w:val="20"/>
        </w:rPr>
        <w:t>Hydrological Extremes Module  |  Institut für Hydrologie und Wasserwirtschaft  |  Leibniz Universität Hannover  |  2024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E46E76" w14:paraId="139556C6" w14:textId="77777777">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16394AD" w14:textId="77777777" w:rsidR="00E46E76" w:rsidRDefault="00000000">
            <w:r>
              <w:rPr>
                <w:b/>
                <w:bCs/>
                <w:color w:val="0A1628"/>
                <w:sz w:val="20"/>
                <w:szCs w:val="20"/>
              </w:rPr>
              <w:t>Institution</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9B65" w14:textId="77777777" w:rsidR="00E46E76" w:rsidRDefault="00000000">
            <w:r>
              <w:rPr>
                <w:color w:val="2C2C2C"/>
                <w:sz w:val="20"/>
                <w:szCs w:val="20"/>
              </w:rPr>
              <w:t>Institut für Hydrologie und Wasserwirtschaft, Leibniz Universität Hannover</w:t>
            </w:r>
          </w:p>
        </w:tc>
      </w:tr>
      <w:tr w:rsidR="00E46E76" w14:paraId="592F5D90" w14:textId="77777777">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2E9EC1" w14:textId="77777777" w:rsidR="00E46E76" w:rsidRDefault="00000000">
            <w:r>
              <w:rPr>
                <w:b/>
                <w:bCs/>
                <w:color w:val="0A1628"/>
                <w:sz w:val="20"/>
                <w:szCs w:val="20"/>
              </w:rPr>
              <w:t>Course / Module</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0E8D2E21" w14:textId="77777777" w:rsidR="00E46E76" w:rsidRDefault="00000000">
            <w:r>
              <w:rPr>
                <w:color w:val="2C2C2C"/>
                <w:sz w:val="20"/>
                <w:szCs w:val="20"/>
              </w:rPr>
              <w:t>Hydrological Extremes — Project Assignment</w:t>
            </w:r>
          </w:p>
        </w:tc>
      </w:tr>
      <w:tr w:rsidR="00E46E76" w14:paraId="66FCC29A" w14:textId="77777777">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9253249" w14:textId="77777777" w:rsidR="00E46E76" w:rsidRDefault="00000000">
            <w:r>
              <w:rPr>
                <w:b/>
                <w:bCs/>
                <w:color w:val="0A1628"/>
                <w:sz w:val="20"/>
                <w:szCs w:val="20"/>
              </w:rPr>
              <w:t>Academic Year</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CD3E" w14:textId="77777777" w:rsidR="00E46E76" w:rsidRDefault="00000000">
            <w:r>
              <w:rPr>
                <w:color w:val="2C2C2C"/>
                <w:sz w:val="20"/>
                <w:szCs w:val="20"/>
              </w:rPr>
              <w:t>2024</w:t>
            </w:r>
          </w:p>
        </w:tc>
      </w:tr>
      <w:tr w:rsidR="00E46E76" w14:paraId="2ADBAB31" w14:textId="77777777">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C26A30" w14:textId="77777777" w:rsidR="00E46E76" w:rsidRDefault="00000000">
            <w:r>
              <w:rPr>
                <w:b/>
                <w:bCs/>
                <w:color w:val="0A1628"/>
                <w:sz w:val="20"/>
                <w:szCs w:val="20"/>
              </w:rPr>
              <w:t>Supervisor</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0270578F" w14:textId="77777777" w:rsidR="00E46E76" w:rsidRDefault="00000000">
            <w:r>
              <w:rPr>
                <w:color w:val="2C2C2C"/>
                <w:sz w:val="20"/>
                <w:szCs w:val="20"/>
              </w:rPr>
              <w:t>M.Sc. Adina Brandt</w:t>
            </w:r>
          </w:p>
        </w:tc>
      </w:tr>
      <w:tr w:rsidR="00E46E76" w14:paraId="4E667B64" w14:textId="77777777">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8435104" w14:textId="77777777" w:rsidR="00E46E76" w:rsidRDefault="00000000">
            <w:r>
              <w:rPr>
                <w:b/>
                <w:bCs/>
                <w:color w:val="0A1628"/>
                <w:sz w:val="20"/>
                <w:szCs w:val="20"/>
              </w:rPr>
              <w:t>Team Members</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7EB9B" w14:textId="200DA01E" w:rsidR="00E46E76" w:rsidRDefault="00000000">
            <w:r>
              <w:rPr>
                <w:color w:val="2C2C2C"/>
                <w:sz w:val="20"/>
                <w:szCs w:val="20"/>
              </w:rPr>
              <w:t>Kabir Kundapur Sheik (10050735</w:t>
            </w:r>
            <w:r w:rsidR="006F0438">
              <w:rPr>
                <w:color w:val="2C2C2C"/>
                <w:sz w:val="20"/>
                <w:szCs w:val="20"/>
              </w:rPr>
              <w:t>)</w:t>
            </w:r>
          </w:p>
        </w:tc>
      </w:tr>
      <w:tr w:rsidR="00E46E76" w14:paraId="033FA1A7" w14:textId="77777777">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987C40" w14:textId="77777777" w:rsidR="00E46E76" w:rsidRDefault="00000000">
            <w:r>
              <w:rPr>
                <w:b/>
                <w:bCs/>
                <w:color w:val="0A1628"/>
                <w:sz w:val="20"/>
                <w:szCs w:val="20"/>
              </w:rPr>
              <w:t>Study Area</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10E383B0" w14:textId="77777777" w:rsidR="00E46E76" w:rsidRDefault="00000000">
            <w:r>
              <w:rPr>
                <w:color w:val="2C2C2C"/>
                <w:sz w:val="20"/>
                <w:szCs w:val="20"/>
              </w:rPr>
              <w:t>Hahle Catchment, Lower Saxony / Thuringia border, Germany</w:t>
            </w:r>
          </w:p>
        </w:tc>
      </w:tr>
      <w:tr w:rsidR="00E46E76" w14:paraId="0F0BCEF4" w14:textId="77777777">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3B292550" w14:textId="77777777" w:rsidR="00E46E76" w:rsidRDefault="00000000">
            <w:r>
              <w:rPr>
                <w:b/>
                <w:bCs/>
                <w:color w:val="0A1628"/>
                <w:sz w:val="20"/>
                <w:szCs w:val="20"/>
              </w:rPr>
              <w:t>Sub-catchments</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936E5" w14:textId="77777777" w:rsidR="00E46E76" w:rsidRDefault="00000000">
            <w:r>
              <w:rPr>
                <w:color w:val="2C2C2C"/>
                <w:sz w:val="20"/>
                <w:szCs w:val="20"/>
              </w:rPr>
              <w:t>Westerode (W01, 33.16 km²) — upstream; Rollshausen (W02, 153.16 km²) — downstream</w:t>
            </w:r>
          </w:p>
        </w:tc>
      </w:tr>
      <w:tr w:rsidR="00E46E76" w14:paraId="6C9B28C6" w14:textId="77777777">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0F1F5C" w14:textId="77777777" w:rsidR="00E46E76" w:rsidRDefault="00000000">
            <w:r>
              <w:rPr>
                <w:b/>
                <w:bCs/>
                <w:color w:val="0A1628"/>
                <w:sz w:val="20"/>
                <w:szCs w:val="20"/>
              </w:rPr>
              <w:t>Tools &amp; Software</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0632F985" w14:textId="77777777" w:rsidR="00E46E76" w:rsidRDefault="00000000">
            <w:r>
              <w:rPr>
                <w:color w:val="2C2C2C"/>
                <w:sz w:val="20"/>
                <w:szCs w:val="20"/>
              </w:rPr>
              <w:t>ArcGIS Pro, HBV-IWW Model, Python, Excel</w:t>
            </w:r>
          </w:p>
        </w:tc>
      </w:tr>
      <w:tr w:rsidR="00E46E76" w14:paraId="03E535F9" w14:textId="77777777">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7781C62" w14:textId="77777777" w:rsidR="00E46E76" w:rsidRDefault="00000000">
            <w:r>
              <w:rPr>
                <w:b/>
                <w:bCs/>
                <w:color w:val="0A1628"/>
                <w:sz w:val="20"/>
                <w:szCs w:val="20"/>
              </w:rPr>
              <w:t>Data Period</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5972B" w14:textId="77777777" w:rsidR="00E46E76" w:rsidRDefault="00000000">
            <w:r>
              <w:rPr>
                <w:color w:val="2C2C2C"/>
                <w:sz w:val="20"/>
                <w:szCs w:val="20"/>
              </w:rPr>
              <w:t>1950–2013 (climate); 1961–2012 (discharge at Rollshausen)</w:t>
            </w:r>
          </w:p>
        </w:tc>
      </w:tr>
    </w:tbl>
    <w:p w14:paraId="0B5453EC" w14:textId="77777777" w:rsidR="00E46E76" w:rsidRDefault="00E46E76">
      <w:pPr>
        <w:spacing w:after="280"/>
      </w:pPr>
    </w:p>
    <w:p w14:paraId="3D243CA2" w14:textId="77777777" w:rsidR="00E46E76" w:rsidRDefault="00000000">
      <w:pPr>
        <w:shd w:val="clear" w:color="auto" w:fill="0A7B74"/>
        <w:spacing w:before="320" w:after="160"/>
        <w:ind w:left="120" w:right="120"/>
      </w:pPr>
      <w:r>
        <w:rPr>
          <w:b/>
          <w:bCs/>
          <w:color w:val="FFFFFF"/>
          <w:sz w:val="24"/>
          <w:szCs w:val="24"/>
        </w:rPr>
        <w:t>1. PROJECT OVERVIEW</w:t>
      </w:r>
    </w:p>
    <w:p w14:paraId="3236D9A9" w14:textId="77777777" w:rsidR="00E46E76" w:rsidRDefault="00E46E76">
      <w:pPr>
        <w:spacing w:after="80"/>
      </w:pPr>
    </w:p>
    <w:p w14:paraId="7D48F4D1" w14:textId="77777777" w:rsidR="00E46E76" w:rsidRDefault="00000000">
      <w:pPr>
        <w:spacing w:before="80" w:after="80" w:line="300" w:lineRule="auto"/>
        <w:jc w:val="both"/>
      </w:pPr>
      <w:r>
        <w:rPr>
          <w:color w:val="2C2C2C"/>
        </w:rPr>
        <w:t>This project assignment models the rainfall-runoff process of the Hahle catchment, a small-to-medium river basin located on the border between Lower Saxony (south-east) and Thuringia (north-west) in central Germany. Using ArcGIS Pro for catchment delineation and the semi-distributed HBV-IWW conceptual model for hydrological simulation, the study covers the complete modelling workflow: from catchment characterisation and time series quality control through to flood frequency analysis, sensitivity analysis, and manual calibration/validation.</w:t>
      </w:r>
    </w:p>
    <w:p w14:paraId="72E5009E" w14:textId="77777777" w:rsidR="00E46E76" w:rsidRDefault="00E46E76">
      <w:pPr>
        <w:spacing w:after="60"/>
      </w:pPr>
    </w:p>
    <w:p w14:paraId="56558FA1" w14:textId="77777777" w:rsidR="00E46E76" w:rsidRDefault="00000000">
      <w:pPr>
        <w:spacing w:before="80" w:after="80" w:line="300" w:lineRule="auto"/>
        <w:jc w:val="both"/>
      </w:pPr>
      <w:r>
        <w:rPr>
          <w:color w:val="2C2C2C"/>
        </w:rPr>
        <w:t>The Hahle catchment was divided into two sub-catchments corresponding to the two available gauging stations: Westerode (W01, upstream, 33.16 km²) and Rollshausen (W02, downstream, 153.16 km²). The catchment elevation ranges from 154.39 m to 526.21 m a.m.s.l., with a mean slope of approximately 5% across both sub-catchments. Land use is dominated by agriculture (60–83%), followed by forest (13–36%) and minor settlements (4%).</w:t>
      </w:r>
    </w:p>
    <w:p w14:paraId="2B73F26D" w14:textId="77777777" w:rsidR="00E46E76" w:rsidRDefault="00E46E76">
      <w:pPr>
        <w:spacing w:after="60"/>
      </w:pPr>
    </w:p>
    <w:p w14:paraId="1A27F865" w14:textId="77777777" w:rsidR="00E46E76" w:rsidRDefault="00000000">
      <w:pPr>
        <w:spacing w:before="80" w:after="80" w:line="300" w:lineRule="auto"/>
        <w:jc w:val="both"/>
      </w:pPr>
      <w:r>
        <w:rPr>
          <w:color w:val="2C2C2C"/>
        </w:rPr>
        <w:t>The project is structured around four interconnected tasks: (1) catchment characterisation and GIS-based mapping; (2) time series pre-processing, plausibility, consistency, and stationarity analysis; (3) flood statistics including GEV and Gumbel probability distribution fitting using L-moments and goodness-of-fit testing; and (4) HBV-IWW model setup, sensitivity analysis across 12 parameters, and manual calibration/validation against observed discharge at the Rollshausen station.</w:t>
      </w:r>
    </w:p>
    <w:p w14:paraId="0A710865" w14:textId="77777777" w:rsidR="00E46E76" w:rsidRDefault="00E46E76">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6E76" w14:paraId="183A2169"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35CD158F" w14:textId="4601B8C3" w:rsidR="006D47B0" w:rsidRDefault="006D47B0">
            <w:pPr>
              <w:jc w:val="center"/>
              <w:rPr>
                <w:b/>
                <w:bCs/>
                <w:color w:val="0A7B74"/>
              </w:rPr>
            </w:pPr>
            <w:r w:rsidRPr="006D47B0">
              <w:rPr>
                <w:b/>
                <w:bCs/>
                <w:noProof/>
                <w:color w:val="0A7B74"/>
              </w:rPr>
              <w:lastRenderedPageBreak/>
              <w:drawing>
                <wp:inline distT="0" distB="0" distL="0" distR="0" wp14:anchorId="4B19E2BC" wp14:editId="4F9B3634">
                  <wp:extent cx="4514850" cy="2813009"/>
                  <wp:effectExtent l="0" t="0" r="0" b="6985"/>
                  <wp:docPr id="15230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5254" name=""/>
                          <pic:cNvPicPr/>
                        </pic:nvPicPr>
                        <pic:blipFill>
                          <a:blip r:embed="rId7"/>
                          <a:stretch>
                            <a:fillRect/>
                          </a:stretch>
                        </pic:blipFill>
                        <pic:spPr>
                          <a:xfrm>
                            <a:off x="0" y="0"/>
                            <a:ext cx="4521708" cy="2817282"/>
                          </a:xfrm>
                          <a:prstGeom prst="rect">
                            <a:avLst/>
                          </a:prstGeom>
                        </pic:spPr>
                      </pic:pic>
                    </a:graphicData>
                  </a:graphic>
                </wp:inline>
              </w:drawing>
            </w:r>
          </w:p>
          <w:p w14:paraId="2D5BCC08" w14:textId="6EA11C71" w:rsidR="00E46E76" w:rsidRDefault="00000000">
            <w:pPr>
              <w:jc w:val="center"/>
            </w:pPr>
            <w:r>
              <w:rPr>
                <w:b/>
                <w:bCs/>
                <w:color w:val="0A7B74"/>
              </w:rPr>
              <w:t>📷  Figure 1 — Study Area: Location map of the Hahle Catchment (Lower Saxony / Thuringia border)</w:t>
            </w:r>
          </w:p>
          <w:p w14:paraId="35AF115E" w14:textId="77777777" w:rsidR="00E46E76" w:rsidRDefault="00000000">
            <w:pPr>
              <w:spacing w:before="60"/>
              <w:jc w:val="center"/>
            </w:pPr>
            <w:r>
              <w:rPr>
                <w:i/>
                <w:iCs/>
                <w:color w:val="666666"/>
                <w:sz w:val="18"/>
                <w:szCs w:val="18"/>
              </w:rPr>
              <w:t>Source: Hahle.pdf — Page 2 (Figure 2-1: Location of the Study Area)</w:t>
            </w:r>
          </w:p>
        </w:tc>
      </w:tr>
    </w:tbl>
    <w:p w14:paraId="09207FF5" w14:textId="77777777" w:rsidR="00E46E76" w:rsidRDefault="00E46E76">
      <w:pPr>
        <w:spacing w:after="280"/>
      </w:pPr>
    </w:p>
    <w:p w14:paraId="3ED98011" w14:textId="77777777" w:rsidR="00E46E76" w:rsidRDefault="00000000">
      <w:pPr>
        <w:shd w:val="clear" w:color="auto" w:fill="0A7B74"/>
        <w:spacing w:before="320" w:after="160"/>
        <w:ind w:left="120" w:right="120"/>
      </w:pPr>
      <w:r>
        <w:rPr>
          <w:b/>
          <w:bCs/>
          <w:color w:val="FFFFFF"/>
          <w:sz w:val="24"/>
          <w:szCs w:val="24"/>
        </w:rPr>
        <w:t>2. OBJECTIVES</w:t>
      </w:r>
    </w:p>
    <w:p w14:paraId="3912F081" w14:textId="77777777" w:rsidR="00E46E76" w:rsidRDefault="00E46E76">
      <w:pPr>
        <w:spacing w:after="80"/>
      </w:pPr>
    </w:p>
    <w:p w14:paraId="26A16705" w14:textId="77777777" w:rsidR="00E46E76" w:rsidRDefault="00000000">
      <w:pPr>
        <w:pStyle w:val="ListParagraph"/>
        <w:numPr>
          <w:ilvl w:val="0"/>
          <w:numId w:val="2"/>
        </w:numPr>
        <w:spacing w:before="60" w:after="60"/>
      </w:pPr>
      <w:r>
        <w:rPr>
          <w:color w:val="2C2C2C"/>
        </w:rPr>
        <w:t>Delineate the Hahle catchment and its two sub-catchments (Westerode and Rollshausen) using ArcGIS Pro hydrology tools applied to a DEM100 digital elevation model.</w:t>
      </w:r>
    </w:p>
    <w:p w14:paraId="18FA02B6" w14:textId="77777777" w:rsidR="00E46E76" w:rsidRDefault="00000000">
      <w:pPr>
        <w:pStyle w:val="ListParagraph"/>
        <w:numPr>
          <w:ilvl w:val="0"/>
          <w:numId w:val="2"/>
        </w:numPr>
        <w:spacing w:before="60" w:after="60"/>
      </w:pPr>
      <w:r>
        <w:rPr>
          <w:color w:val="2C2C2C"/>
        </w:rPr>
        <w:t>Characterise the catchment's topography, river network, land use (CORINE CLC), and soil properties (HWSD) through GIS-based spatial analysis and tabulation.</w:t>
      </w:r>
    </w:p>
    <w:p w14:paraId="4A46B611" w14:textId="77777777" w:rsidR="00E46E76" w:rsidRDefault="00000000">
      <w:pPr>
        <w:pStyle w:val="ListParagraph"/>
        <w:numPr>
          <w:ilvl w:val="0"/>
          <w:numId w:val="2"/>
        </w:numPr>
        <w:spacing w:before="60" w:after="60"/>
      </w:pPr>
      <w:r>
        <w:rPr>
          <w:color w:val="2C2C2C"/>
        </w:rPr>
        <w:t>Pre-process available hydrological and climate time series (daily mean runoff DME, monthly peak flows MMA, precipitation PCP, temperature TAV, evapotranspiration ETP, crop coefficient CRO) for plausibility, consistency, and stationarity.</w:t>
      </w:r>
    </w:p>
    <w:p w14:paraId="15C37BA0" w14:textId="77777777" w:rsidR="00E46E76" w:rsidRDefault="00000000">
      <w:pPr>
        <w:pStyle w:val="ListParagraph"/>
        <w:numPr>
          <w:ilvl w:val="0"/>
          <w:numId w:val="2"/>
        </w:numPr>
        <w:spacing w:before="60" w:after="60"/>
      </w:pPr>
      <w:r>
        <w:rPr>
          <w:color w:val="2C2C2C"/>
        </w:rPr>
        <w:t>Conduct flood frequency analysis by fitting GEV and Gumbel probability distributions using L-moments to both DME and MMA datasets, with goodness-of-fit testing and derivation of design floods for 10-year and 50-year return periods.</w:t>
      </w:r>
    </w:p>
    <w:p w14:paraId="076A6D9D" w14:textId="77777777" w:rsidR="00E46E76" w:rsidRDefault="00000000">
      <w:pPr>
        <w:pStyle w:val="ListParagraph"/>
        <w:numPr>
          <w:ilvl w:val="0"/>
          <w:numId w:val="2"/>
        </w:numPr>
        <w:spacing w:before="60" w:after="60"/>
      </w:pPr>
      <w:r>
        <w:rPr>
          <w:color w:val="2C2C2C"/>
        </w:rPr>
        <w:t>Set up, run, and calibrate the semi-distributed HBV-IWW rainfall-runoff model for the Hahle catchment, with sensitivity analysis of all 12 model parameters and manual calibration optimised by Nash-Sutcliffe Efficiency (NSE).</w:t>
      </w:r>
    </w:p>
    <w:p w14:paraId="18FBD443" w14:textId="77777777" w:rsidR="00E46E76" w:rsidRDefault="00E46E76">
      <w:pPr>
        <w:spacing w:after="280"/>
      </w:pPr>
    </w:p>
    <w:p w14:paraId="100AD8F9" w14:textId="77777777" w:rsidR="00E46E76" w:rsidRDefault="00000000">
      <w:pPr>
        <w:shd w:val="clear" w:color="auto" w:fill="0A7B74"/>
        <w:spacing w:before="320" w:after="160"/>
        <w:ind w:left="120" w:right="120"/>
      </w:pPr>
      <w:r>
        <w:rPr>
          <w:b/>
          <w:bCs/>
          <w:color w:val="FFFFFF"/>
          <w:sz w:val="24"/>
          <w:szCs w:val="24"/>
        </w:rPr>
        <w:t>3. METHODOLOGY</w:t>
      </w:r>
    </w:p>
    <w:p w14:paraId="0B3278A4" w14:textId="77777777" w:rsidR="00E46E76" w:rsidRDefault="00E46E76">
      <w:pPr>
        <w:spacing w:after="80"/>
      </w:pPr>
    </w:p>
    <w:p w14:paraId="2A4AD730" w14:textId="77777777" w:rsidR="00E46E76" w:rsidRDefault="00000000">
      <w:pPr>
        <w:spacing w:before="160" w:after="80"/>
      </w:pPr>
      <w:r>
        <w:rPr>
          <w:b/>
          <w:bCs/>
          <w:color w:val="0A1628"/>
          <w:sz w:val="23"/>
          <w:szCs w:val="23"/>
        </w:rPr>
        <w:t>3.1  Catchment Delineation and Characterisation (ArcGIS Pro)</w:t>
      </w:r>
    </w:p>
    <w:p w14:paraId="142E1B57" w14:textId="77777777" w:rsidR="00E46E76" w:rsidRDefault="00000000">
      <w:pPr>
        <w:spacing w:before="80" w:after="80" w:line="300" w:lineRule="auto"/>
        <w:jc w:val="both"/>
      </w:pPr>
      <w:r>
        <w:rPr>
          <w:color w:val="2C2C2C"/>
        </w:rPr>
        <w:t>The watershed boundary was delineated using ArcGIS Pro hydrology tools applied to the DEM100 digital elevation model. The workflow involved filling sinks, computing flow direction and flow accumulation rasters, defining the stream network at a threshold drainage area of 25 km², and snapping pour points to the Westerode and Rollshausen gauging stations to extract sub-catchment boundaries.</w:t>
      </w:r>
    </w:p>
    <w:p w14:paraId="47DB9659" w14:textId="77777777" w:rsidR="00E46E76" w:rsidRDefault="00E46E76">
      <w:pPr>
        <w:spacing w:after="60"/>
      </w:pPr>
    </w:p>
    <w:p w14:paraId="4E23A195" w14:textId="77777777" w:rsidR="00E46E76" w:rsidRDefault="00000000">
      <w:pPr>
        <w:spacing w:before="80" w:after="80" w:line="300" w:lineRule="auto"/>
        <w:jc w:val="both"/>
      </w:pPr>
      <w:r>
        <w:rPr>
          <w:color w:val="2C2C2C"/>
        </w:rPr>
        <w:lastRenderedPageBreak/>
        <w:t>Key topographical characteristics derived for each sub-catchment include: area, perimeter, areal centroid coordinates, elevation statistics (min, max, mean, standard deviation), and mean slope (classified). Both sub-catchments have a mean slope of approximately 5%, placing them in the moderate slope class — implying a mix of infiltration-dominated and moderate runoff-generating behaviour.</w:t>
      </w:r>
    </w:p>
    <w:p w14:paraId="47FAB562" w14:textId="77777777" w:rsidR="00E46E76" w:rsidRDefault="00E46E7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3470"/>
        <w:gridCol w:w="3470"/>
      </w:tblGrid>
      <w:tr w:rsidR="00E46E76" w14:paraId="73189B74" w14:textId="77777777">
        <w:tc>
          <w:tcPr>
            <w:tcW w:w="2699"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780D4BC9" w14:textId="77777777" w:rsidR="00E46E76" w:rsidRDefault="00000000">
            <w:r>
              <w:rPr>
                <w:b/>
                <w:bCs/>
                <w:color w:val="FFFFFF"/>
                <w:sz w:val="19"/>
                <w:szCs w:val="19"/>
              </w:rPr>
              <w:t>Characteristic</w:t>
            </w:r>
          </w:p>
        </w:tc>
        <w:tc>
          <w:tcPr>
            <w:tcW w:w="3470"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31216065" w14:textId="77777777" w:rsidR="00E46E76" w:rsidRDefault="00000000">
            <w:r>
              <w:rPr>
                <w:b/>
                <w:bCs/>
                <w:color w:val="FFFFFF"/>
                <w:sz w:val="19"/>
                <w:szCs w:val="19"/>
              </w:rPr>
              <w:t>Westerode (W01)</w:t>
            </w:r>
          </w:p>
        </w:tc>
        <w:tc>
          <w:tcPr>
            <w:tcW w:w="3470"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687BDEA0" w14:textId="77777777" w:rsidR="00E46E76" w:rsidRDefault="00000000">
            <w:r>
              <w:rPr>
                <w:b/>
                <w:bCs/>
                <w:color w:val="FFFFFF"/>
                <w:sz w:val="19"/>
                <w:szCs w:val="19"/>
              </w:rPr>
              <w:t>Rollshausen (W02)</w:t>
            </w:r>
          </w:p>
        </w:tc>
      </w:tr>
      <w:tr w:rsidR="00E46E76" w14:paraId="53E0BA2E" w14:textId="77777777">
        <w:tc>
          <w:tcPr>
            <w:tcW w:w="26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10B099" w14:textId="77777777" w:rsidR="00E46E76" w:rsidRDefault="00000000">
            <w:r>
              <w:rPr>
                <w:b/>
                <w:bCs/>
                <w:color w:val="2C2C2C"/>
                <w:sz w:val="19"/>
                <w:szCs w:val="19"/>
              </w:rPr>
              <w:t>Area (km²)</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539003" w14:textId="77777777" w:rsidR="00E46E76" w:rsidRDefault="00000000">
            <w:r>
              <w:rPr>
                <w:color w:val="2C2C2C"/>
                <w:sz w:val="19"/>
                <w:szCs w:val="19"/>
              </w:rPr>
              <w:t>33.16</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87FEF" w14:textId="77777777" w:rsidR="00E46E76" w:rsidRDefault="00000000">
            <w:r>
              <w:rPr>
                <w:color w:val="2C2C2C"/>
                <w:sz w:val="19"/>
                <w:szCs w:val="19"/>
              </w:rPr>
              <w:t>153.16</w:t>
            </w:r>
          </w:p>
        </w:tc>
      </w:tr>
      <w:tr w:rsidR="00E46E76" w14:paraId="4C83C07E" w14:textId="77777777">
        <w:tc>
          <w:tcPr>
            <w:tcW w:w="2699"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6F53660D" w14:textId="77777777" w:rsidR="00E46E76" w:rsidRDefault="00000000">
            <w:r>
              <w:rPr>
                <w:b/>
                <w:bCs/>
                <w:color w:val="2C2C2C"/>
                <w:sz w:val="19"/>
                <w:szCs w:val="19"/>
              </w:rPr>
              <w:t>Perimeter (km)</w:t>
            </w:r>
          </w:p>
        </w:tc>
        <w:tc>
          <w:tcPr>
            <w:tcW w:w="3470"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6D7EFDC7" w14:textId="77777777" w:rsidR="00E46E76" w:rsidRDefault="00000000">
            <w:r>
              <w:rPr>
                <w:color w:val="2C2C2C"/>
                <w:sz w:val="19"/>
                <w:szCs w:val="19"/>
              </w:rPr>
              <w:t>40.4</w:t>
            </w:r>
          </w:p>
        </w:tc>
        <w:tc>
          <w:tcPr>
            <w:tcW w:w="3470"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3BDA9B47" w14:textId="77777777" w:rsidR="00E46E76" w:rsidRDefault="00000000">
            <w:r>
              <w:rPr>
                <w:color w:val="2C2C2C"/>
                <w:sz w:val="19"/>
                <w:szCs w:val="19"/>
              </w:rPr>
              <w:t>89.8</w:t>
            </w:r>
          </w:p>
        </w:tc>
      </w:tr>
      <w:tr w:rsidR="00E46E76" w14:paraId="02BE230E" w14:textId="77777777">
        <w:tc>
          <w:tcPr>
            <w:tcW w:w="26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7C8979" w14:textId="77777777" w:rsidR="00E46E76" w:rsidRDefault="00000000">
            <w:r>
              <w:rPr>
                <w:b/>
                <w:bCs/>
                <w:color w:val="2C2C2C"/>
                <w:sz w:val="19"/>
                <w:szCs w:val="19"/>
              </w:rPr>
              <w:t>Elevation range (m a.m.s.l.)</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2CFC8" w14:textId="77777777" w:rsidR="00E46E76" w:rsidRDefault="00000000">
            <w:r>
              <w:rPr>
                <w:color w:val="2C2C2C"/>
                <w:sz w:val="19"/>
                <w:szCs w:val="19"/>
              </w:rPr>
              <w:t>154–526</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A09FD" w14:textId="77777777" w:rsidR="00E46E76" w:rsidRDefault="00000000">
            <w:r>
              <w:rPr>
                <w:color w:val="2C2C2C"/>
                <w:sz w:val="19"/>
                <w:szCs w:val="19"/>
              </w:rPr>
              <w:t>154–526</w:t>
            </w:r>
          </w:p>
        </w:tc>
      </w:tr>
      <w:tr w:rsidR="00E46E76" w14:paraId="6B9116AA" w14:textId="77777777">
        <w:tc>
          <w:tcPr>
            <w:tcW w:w="2699"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5353722D" w14:textId="77777777" w:rsidR="00E46E76" w:rsidRDefault="00000000">
            <w:r>
              <w:rPr>
                <w:b/>
                <w:bCs/>
                <w:color w:val="2C2C2C"/>
                <w:sz w:val="19"/>
                <w:szCs w:val="19"/>
              </w:rPr>
              <w:t>Mean slope (%)</w:t>
            </w:r>
          </w:p>
        </w:tc>
        <w:tc>
          <w:tcPr>
            <w:tcW w:w="3470"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43501AFE" w14:textId="77777777" w:rsidR="00E46E76" w:rsidRDefault="00000000">
            <w:r>
              <w:rPr>
                <w:color w:val="2C2C2C"/>
                <w:sz w:val="19"/>
                <w:szCs w:val="19"/>
              </w:rPr>
              <w:t>~5</w:t>
            </w:r>
          </w:p>
        </w:tc>
        <w:tc>
          <w:tcPr>
            <w:tcW w:w="3470"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7328494D" w14:textId="77777777" w:rsidR="00E46E76" w:rsidRDefault="00000000">
            <w:r>
              <w:rPr>
                <w:color w:val="2C2C2C"/>
                <w:sz w:val="19"/>
                <w:szCs w:val="19"/>
              </w:rPr>
              <w:t>~5</w:t>
            </w:r>
          </w:p>
        </w:tc>
      </w:tr>
      <w:tr w:rsidR="00E46E76" w14:paraId="0B63A86F" w14:textId="77777777">
        <w:tc>
          <w:tcPr>
            <w:tcW w:w="26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F762A" w14:textId="77777777" w:rsidR="00E46E76" w:rsidRDefault="00000000">
            <w:r>
              <w:rPr>
                <w:b/>
                <w:bCs/>
                <w:color w:val="2C2C2C"/>
                <w:sz w:val="19"/>
                <w:szCs w:val="19"/>
              </w:rPr>
              <w:t>Primary land use</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4ED38" w14:textId="77777777" w:rsidR="00E46E76" w:rsidRDefault="00000000">
            <w:r>
              <w:rPr>
                <w:color w:val="2C2C2C"/>
                <w:sz w:val="19"/>
                <w:szCs w:val="19"/>
              </w:rPr>
              <w:t>Agriculture (83.3%)</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D4D85" w14:textId="77777777" w:rsidR="00E46E76" w:rsidRDefault="00000000">
            <w:r>
              <w:rPr>
                <w:color w:val="2C2C2C"/>
                <w:sz w:val="19"/>
                <w:szCs w:val="19"/>
              </w:rPr>
              <w:t>Agriculture (60.1%)</w:t>
            </w:r>
          </w:p>
        </w:tc>
      </w:tr>
      <w:tr w:rsidR="00E46E76" w14:paraId="7D267895" w14:textId="77777777">
        <w:tc>
          <w:tcPr>
            <w:tcW w:w="2699"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094157E2" w14:textId="77777777" w:rsidR="00E46E76" w:rsidRDefault="00000000">
            <w:r>
              <w:rPr>
                <w:b/>
                <w:bCs/>
                <w:color w:val="2C2C2C"/>
                <w:sz w:val="19"/>
                <w:szCs w:val="19"/>
              </w:rPr>
              <w:t>Forest cover (%)</w:t>
            </w:r>
          </w:p>
        </w:tc>
        <w:tc>
          <w:tcPr>
            <w:tcW w:w="3470"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AD53D5D" w14:textId="77777777" w:rsidR="00E46E76" w:rsidRDefault="00000000">
            <w:r>
              <w:rPr>
                <w:color w:val="2C2C2C"/>
                <w:sz w:val="19"/>
                <w:szCs w:val="19"/>
              </w:rPr>
              <w:t>12.55</w:t>
            </w:r>
          </w:p>
        </w:tc>
        <w:tc>
          <w:tcPr>
            <w:tcW w:w="3470"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519FDE78" w14:textId="77777777" w:rsidR="00E46E76" w:rsidRDefault="00000000">
            <w:r>
              <w:rPr>
                <w:color w:val="2C2C2C"/>
                <w:sz w:val="19"/>
                <w:szCs w:val="19"/>
              </w:rPr>
              <w:t>35.58</w:t>
            </w:r>
          </w:p>
        </w:tc>
      </w:tr>
      <w:tr w:rsidR="00E46E76" w14:paraId="59E8C54C" w14:textId="77777777">
        <w:tc>
          <w:tcPr>
            <w:tcW w:w="26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ECE7E9" w14:textId="77777777" w:rsidR="00E46E76" w:rsidRDefault="00000000">
            <w:r>
              <w:rPr>
                <w:b/>
                <w:bCs/>
                <w:color w:val="2C2C2C"/>
                <w:sz w:val="19"/>
                <w:szCs w:val="19"/>
              </w:rPr>
              <w:t>Settlement cover (%)</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89B22E" w14:textId="77777777" w:rsidR="00E46E76" w:rsidRDefault="00000000">
            <w:r>
              <w:rPr>
                <w:color w:val="2C2C2C"/>
                <w:sz w:val="19"/>
                <w:szCs w:val="19"/>
              </w:rPr>
              <w:t>4.16</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57510" w14:textId="77777777" w:rsidR="00E46E76" w:rsidRDefault="00000000">
            <w:r>
              <w:rPr>
                <w:color w:val="2C2C2C"/>
                <w:sz w:val="19"/>
                <w:szCs w:val="19"/>
              </w:rPr>
              <w:t>4.33</w:t>
            </w:r>
          </w:p>
        </w:tc>
      </w:tr>
      <w:tr w:rsidR="00E46E76" w14:paraId="5830F110" w14:textId="77777777">
        <w:tc>
          <w:tcPr>
            <w:tcW w:w="2699"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51E5D052" w14:textId="77777777" w:rsidR="00E46E76" w:rsidRDefault="00000000">
            <w:r>
              <w:rPr>
                <w:b/>
                <w:bCs/>
                <w:color w:val="2C2C2C"/>
                <w:sz w:val="19"/>
                <w:szCs w:val="19"/>
              </w:rPr>
              <w:t>Dominant soil type</w:t>
            </w:r>
          </w:p>
        </w:tc>
        <w:tc>
          <w:tcPr>
            <w:tcW w:w="3470"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7875C037" w14:textId="77777777" w:rsidR="00E46E76" w:rsidRDefault="00000000">
            <w:r>
              <w:rPr>
                <w:color w:val="2C2C2C"/>
                <w:sz w:val="19"/>
                <w:szCs w:val="19"/>
              </w:rPr>
              <w:t>Loam</w:t>
            </w:r>
          </w:p>
        </w:tc>
        <w:tc>
          <w:tcPr>
            <w:tcW w:w="3470"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585BE36F" w14:textId="77777777" w:rsidR="00E46E76" w:rsidRDefault="00000000">
            <w:r>
              <w:rPr>
                <w:color w:val="2C2C2C"/>
                <w:sz w:val="19"/>
                <w:szCs w:val="19"/>
              </w:rPr>
              <w:t>Loam / Clay Loam</w:t>
            </w:r>
          </w:p>
        </w:tc>
      </w:tr>
    </w:tbl>
    <w:p w14:paraId="689CE78C" w14:textId="77777777" w:rsidR="00E46E76" w:rsidRDefault="00E46E76">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6E76" w14:paraId="02C92BA9"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65961C44" w14:textId="0CFAFB1E" w:rsidR="006D47B0" w:rsidRDefault="006D47B0">
            <w:pPr>
              <w:jc w:val="center"/>
              <w:rPr>
                <w:b/>
                <w:bCs/>
                <w:color w:val="0A7B74"/>
              </w:rPr>
            </w:pPr>
            <w:r w:rsidRPr="006D47B0">
              <w:rPr>
                <w:b/>
                <w:bCs/>
                <w:noProof/>
                <w:color w:val="0A7B74"/>
              </w:rPr>
              <w:drawing>
                <wp:inline distT="0" distB="0" distL="0" distR="0" wp14:anchorId="1939CCD2" wp14:editId="1438A528">
                  <wp:extent cx="2313483" cy="1593850"/>
                  <wp:effectExtent l="0" t="0" r="0" b="6350"/>
                  <wp:docPr id="120356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67283" name=""/>
                          <pic:cNvPicPr/>
                        </pic:nvPicPr>
                        <pic:blipFill>
                          <a:blip r:embed="rId8"/>
                          <a:stretch>
                            <a:fillRect/>
                          </a:stretch>
                        </pic:blipFill>
                        <pic:spPr>
                          <a:xfrm>
                            <a:off x="0" y="0"/>
                            <a:ext cx="2330070" cy="1605278"/>
                          </a:xfrm>
                          <a:prstGeom prst="rect">
                            <a:avLst/>
                          </a:prstGeom>
                        </pic:spPr>
                      </pic:pic>
                    </a:graphicData>
                  </a:graphic>
                </wp:inline>
              </w:drawing>
            </w:r>
            <w:r>
              <w:rPr>
                <w:b/>
                <w:bCs/>
                <w:color w:val="0A7B74"/>
              </w:rPr>
              <w:t xml:space="preserve"> </w:t>
            </w:r>
            <w:r w:rsidRPr="006D47B0">
              <w:rPr>
                <w:b/>
                <w:bCs/>
                <w:noProof/>
                <w:color w:val="0A7B74"/>
              </w:rPr>
              <w:drawing>
                <wp:inline distT="0" distB="0" distL="0" distR="0" wp14:anchorId="13805E4E" wp14:editId="3EAE96D9">
                  <wp:extent cx="2349500" cy="1579903"/>
                  <wp:effectExtent l="0" t="0" r="0" b="1270"/>
                  <wp:docPr id="137383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38039" name=""/>
                          <pic:cNvPicPr/>
                        </pic:nvPicPr>
                        <pic:blipFill>
                          <a:blip r:embed="rId9"/>
                          <a:stretch>
                            <a:fillRect/>
                          </a:stretch>
                        </pic:blipFill>
                        <pic:spPr>
                          <a:xfrm>
                            <a:off x="0" y="0"/>
                            <a:ext cx="2369015" cy="1593026"/>
                          </a:xfrm>
                          <a:prstGeom prst="rect">
                            <a:avLst/>
                          </a:prstGeom>
                        </pic:spPr>
                      </pic:pic>
                    </a:graphicData>
                  </a:graphic>
                </wp:inline>
              </w:drawing>
            </w:r>
          </w:p>
          <w:p w14:paraId="13CAA99A" w14:textId="77777777" w:rsidR="006D47B0" w:rsidRDefault="006D47B0">
            <w:pPr>
              <w:jc w:val="center"/>
              <w:rPr>
                <w:b/>
                <w:bCs/>
                <w:color w:val="0A7B74"/>
              </w:rPr>
            </w:pPr>
          </w:p>
          <w:p w14:paraId="07647315" w14:textId="58F1963D" w:rsidR="006D47B0" w:rsidRDefault="006D47B0">
            <w:pPr>
              <w:jc w:val="center"/>
              <w:rPr>
                <w:b/>
                <w:bCs/>
                <w:color w:val="0A7B74"/>
              </w:rPr>
            </w:pPr>
            <w:r w:rsidRPr="006D47B0">
              <w:rPr>
                <w:b/>
                <w:bCs/>
                <w:noProof/>
                <w:color w:val="0A7B74"/>
              </w:rPr>
              <w:drawing>
                <wp:inline distT="0" distB="0" distL="0" distR="0" wp14:anchorId="26D7FFF1" wp14:editId="4E5BD10E">
                  <wp:extent cx="2527300" cy="1779704"/>
                  <wp:effectExtent l="0" t="0" r="6350" b="0"/>
                  <wp:docPr id="85951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14273" name=""/>
                          <pic:cNvPicPr/>
                        </pic:nvPicPr>
                        <pic:blipFill>
                          <a:blip r:embed="rId10"/>
                          <a:stretch>
                            <a:fillRect/>
                          </a:stretch>
                        </pic:blipFill>
                        <pic:spPr>
                          <a:xfrm>
                            <a:off x="0" y="0"/>
                            <a:ext cx="2544554" cy="1791854"/>
                          </a:xfrm>
                          <a:prstGeom prst="rect">
                            <a:avLst/>
                          </a:prstGeom>
                        </pic:spPr>
                      </pic:pic>
                    </a:graphicData>
                  </a:graphic>
                </wp:inline>
              </w:drawing>
            </w:r>
            <w:r>
              <w:rPr>
                <w:b/>
                <w:bCs/>
                <w:color w:val="0A7B74"/>
              </w:rPr>
              <w:t xml:space="preserve"> </w:t>
            </w:r>
            <w:r w:rsidRPr="006D47B0">
              <w:rPr>
                <w:b/>
                <w:bCs/>
                <w:noProof/>
                <w:color w:val="0A7B74"/>
              </w:rPr>
              <w:drawing>
                <wp:inline distT="0" distB="0" distL="0" distR="0" wp14:anchorId="471D74CE" wp14:editId="5FA9945A">
                  <wp:extent cx="2444750" cy="3130995"/>
                  <wp:effectExtent l="0" t="0" r="0" b="0"/>
                  <wp:docPr id="31716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63971" name=""/>
                          <pic:cNvPicPr/>
                        </pic:nvPicPr>
                        <pic:blipFill>
                          <a:blip r:embed="rId11"/>
                          <a:stretch>
                            <a:fillRect/>
                          </a:stretch>
                        </pic:blipFill>
                        <pic:spPr>
                          <a:xfrm>
                            <a:off x="0" y="0"/>
                            <a:ext cx="2453899" cy="3142713"/>
                          </a:xfrm>
                          <a:prstGeom prst="rect">
                            <a:avLst/>
                          </a:prstGeom>
                        </pic:spPr>
                      </pic:pic>
                    </a:graphicData>
                  </a:graphic>
                </wp:inline>
              </w:drawing>
            </w:r>
          </w:p>
          <w:p w14:paraId="666BE5E9" w14:textId="107B4F19" w:rsidR="00E46E76" w:rsidRDefault="00000000">
            <w:pPr>
              <w:jc w:val="center"/>
            </w:pPr>
            <w:r>
              <w:rPr>
                <w:b/>
                <w:bCs/>
                <w:color w:val="0A7B74"/>
              </w:rPr>
              <w:t>📷  Figure 2 — GIS maps (four panels): Base map with river network, topography (DGM), land use (CLC), and soil distribution (HWSD) of the Hahle Catchment</w:t>
            </w:r>
          </w:p>
          <w:p w14:paraId="546005BE" w14:textId="77777777" w:rsidR="00E46E76" w:rsidRDefault="00000000">
            <w:pPr>
              <w:spacing w:before="60"/>
              <w:jc w:val="center"/>
            </w:pPr>
            <w:r>
              <w:rPr>
                <w:i/>
                <w:iCs/>
                <w:color w:val="666666"/>
                <w:sz w:val="18"/>
                <w:szCs w:val="18"/>
              </w:rPr>
              <w:t>Source: Hahle.pdf — Pages 1–4 of Section 2.2 (Figures 2-5, 2-6, 2-7, 2-8)</w:t>
            </w:r>
          </w:p>
        </w:tc>
      </w:tr>
    </w:tbl>
    <w:p w14:paraId="7A9C9981" w14:textId="77777777" w:rsidR="00E46E76" w:rsidRDefault="00E46E76">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6E76" w14:paraId="2AE277CC"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18A03745" w14:textId="7CFB315B" w:rsidR="006D47B0" w:rsidRDefault="006D47B0">
            <w:pPr>
              <w:jc w:val="center"/>
              <w:rPr>
                <w:b/>
                <w:bCs/>
                <w:color w:val="0A7B74"/>
              </w:rPr>
            </w:pPr>
            <w:r w:rsidRPr="006D47B0">
              <w:rPr>
                <w:b/>
                <w:bCs/>
                <w:noProof/>
                <w:color w:val="0A7B74"/>
              </w:rPr>
              <w:drawing>
                <wp:inline distT="0" distB="0" distL="0" distR="0" wp14:anchorId="4BA16AF1" wp14:editId="66278B33">
                  <wp:extent cx="3416300" cy="2338922"/>
                  <wp:effectExtent l="0" t="0" r="0" b="4445"/>
                  <wp:docPr id="143160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00068" name=""/>
                          <pic:cNvPicPr/>
                        </pic:nvPicPr>
                        <pic:blipFill>
                          <a:blip r:embed="rId12"/>
                          <a:stretch>
                            <a:fillRect/>
                          </a:stretch>
                        </pic:blipFill>
                        <pic:spPr>
                          <a:xfrm>
                            <a:off x="0" y="0"/>
                            <a:ext cx="3424619" cy="2344618"/>
                          </a:xfrm>
                          <a:prstGeom prst="rect">
                            <a:avLst/>
                          </a:prstGeom>
                        </pic:spPr>
                      </pic:pic>
                    </a:graphicData>
                  </a:graphic>
                </wp:inline>
              </w:drawing>
            </w:r>
          </w:p>
          <w:p w14:paraId="64B9E306" w14:textId="07AD263A" w:rsidR="00E46E76" w:rsidRDefault="00000000">
            <w:pPr>
              <w:jc w:val="center"/>
            </w:pPr>
            <w:r>
              <w:rPr>
                <w:b/>
                <w:bCs/>
                <w:color w:val="0A7B74"/>
              </w:rPr>
              <w:t>📷  Figure 3 — Slope classification map of the Hahle Catchment showing spatial distribution of slope classes across both sub-catchments</w:t>
            </w:r>
          </w:p>
          <w:p w14:paraId="4A474302" w14:textId="77777777" w:rsidR="00E46E76" w:rsidRDefault="00000000">
            <w:pPr>
              <w:spacing w:before="60"/>
              <w:jc w:val="center"/>
            </w:pPr>
            <w:r>
              <w:rPr>
                <w:i/>
                <w:iCs/>
                <w:color w:val="666666"/>
                <w:sz w:val="18"/>
                <w:szCs w:val="18"/>
              </w:rPr>
              <w:t>Source: Hahle.pdf — Page 5 (Figure 2-3: Slope Classification)</w:t>
            </w:r>
          </w:p>
        </w:tc>
      </w:tr>
    </w:tbl>
    <w:p w14:paraId="4D1A9F4E" w14:textId="77777777" w:rsidR="00E46E76" w:rsidRDefault="00E46E76">
      <w:pPr>
        <w:spacing w:after="160"/>
      </w:pPr>
    </w:p>
    <w:p w14:paraId="115E5725" w14:textId="77777777" w:rsidR="00E46E76" w:rsidRDefault="00000000">
      <w:pPr>
        <w:spacing w:before="160" w:after="80"/>
      </w:pPr>
      <w:r>
        <w:rPr>
          <w:b/>
          <w:bCs/>
          <w:color w:val="0A1628"/>
          <w:sz w:val="23"/>
          <w:szCs w:val="23"/>
        </w:rPr>
        <w:t>3.2  Time Series Pre-Processing</w:t>
      </w:r>
    </w:p>
    <w:p w14:paraId="6B41D7D1" w14:textId="77777777" w:rsidR="00E46E76" w:rsidRDefault="00000000">
      <w:pPr>
        <w:spacing w:before="80" w:after="80" w:line="300" w:lineRule="auto"/>
        <w:jc w:val="both"/>
      </w:pPr>
      <w:r>
        <w:rPr>
          <w:color w:val="2C2C2C"/>
        </w:rPr>
        <w:t>All input time series were subjected to three quality control steps before modelling. Plausibility checks confirmed that temperature (TAV), precipitation (PCP), evapotranspiration (ETP), and crop coefficient (CRO) values fell within physically realistic ranges verified against DWD Climate Data Center benchmarks. A small number of erroneous MMA values (coded as −999 at Rollshausen) were flagged and treated as missing data.</w:t>
      </w:r>
    </w:p>
    <w:p w14:paraId="580161AA" w14:textId="77777777" w:rsidR="00E46E76" w:rsidRDefault="00E46E76">
      <w:pPr>
        <w:spacing w:after="60"/>
      </w:pPr>
    </w:p>
    <w:p w14:paraId="480C9099" w14:textId="77777777" w:rsidR="00E46E76" w:rsidRDefault="00000000">
      <w:pPr>
        <w:spacing w:before="80" w:after="80" w:line="300" w:lineRule="auto"/>
        <w:jc w:val="both"/>
      </w:pPr>
      <w:r>
        <w:rPr>
          <w:color w:val="2C2C2C"/>
        </w:rPr>
        <w:t>Consistency was verified by mapping the availability of each parameter over the full record period. The only significant gap was in the DME daily runoff at Rollshausen, where recording began in November 1961 rather than from 1950. All other parameters were continuous and complete. Stationarity was confirmed by linear regression trend analysis of the DME hydrograph (no significant drift detected) and by Double Sum Analysis (DSA) comparing cumulative DME and cumulative PCP — the linear, slope-consistent DSA curve confirmed a homogeneous and stable precipitation-runoff relationship throughout the record.</w:t>
      </w:r>
    </w:p>
    <w:p w14:paraId="25140F41" w14:textId="77777777" w:rsidR="00E46E76" w:rsidRDefault="00E46E76">
      <w:pPr>
        <w:spacing w:after="160"/>
      </w:pPr>
    </w:p>
    <w:p w14:paraId="0D9A0A02" w14:textId="77777777" w:rsidR="00E46E76" w:rsidRDefault="00000000">
      <w:pPr>
        <w:spacing w:before="160" w:after="80"/>
      </w:pPr>
      <w:r>
        <w:rPr>
          <w:b/>
          <w:bCs/>
          <w:color w:val="0A1628"/>
          <w:sz w:val="23"/>
          <w:szCs w:val="23"/>
        </w:rPr>
        <w:t>3.3  Flood Frequency Analysis</w:t>
      </w:r>
    </w:p>
    <w:p w14:paraId="697E9696" w14:textId="77777777" w:rsidR="00E46E76" w:rsidRDefault="00000000">
      <w:pPr>
        <w:spacing w:before="80" w:after="80" w:line="300" w:lineRule="auto"/>
        <w:jc w:val="both"/>
      </w:pPr>
      <w:r>
        <w:rPr>
          <w:color w:val="2C2C2C"/>
        </w:rPr>
        <w:t>Annual peak flows were extracted from both the DME (daily mean values) and MMA (monthly instantaneous peaks) datasets on a hydrological year basis, yielding 52 years of record. An independence check confirmed all extracted annual peaks were temporally separated by more than 7 days, ensuring statistical independence.</w:t>
      </w:r>
    </w:p>
    <w:p w14:paraId="3863EA9C" w14:textId="77777777" w:rsidR="00E46E76" w:rsidRDefault="00E46E76">
      <w:pPr>
        <w:spacing w:after="60"/>
      </w:pPr>
    </w:p>
    <w:p w14:paraId="6C2C2EA6" w14:textId="77777777" w:rsidR="00E46E76" w:rsidRDefault="00000000">
      <w:pPr>
        <w:spacing w:before="80" w:after="80" w:line="300" w:lineRule="auto"/>
        <w:jc w:val="both"/>
      </w:pPr>
      <w:r>
        <w:rPr>
          <w:color w:val="2C2C2C"/>
        </w:rPr>
        <w:t>GEV and Gumbel probability distributions were fitted using the method of L-moments. The L-moment parameters (b0, b1, b2) were computed from ranked data, from which location, scale, and shape parameters were derived for both distributions and both datasets. Goodness-of-fit was assessed using the nω² test at α = 0.05. All four fits passed: nω² = 1.36 (GEV/DME), 5.11 (Gumbel/DME), 1.30 (GEV/MMA), and 1.29 (Gumbel/MMA), against critical values of 7.81 and 5.99 respectively.</w:t>
      </w:r>
    </w:p>
    <w:p w14:paraId="7606772F" w14:textId="77777777" w:rsidR="00E46E76" w:rsidRDefault="00E46E7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4"/>
        <w:gridCol w:w="1831"/>
        <w:gridCol w:w="1831"/>
        <w:gridCol w:w="1831"/>
        <w:gridCol w:w="1831"/>
      </w:tblGrid>
      <w:tr w:rsidR="00E46E76" w14:paraId="30BD04DC" w14:textId="77777777">
        <w:tc>
          <w:tcPr>
            <w:tcW w:w="2313"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71174107" w14:textId="77777777" w:rsidR="00E46E76" w:rsidRDefault="00000000">
            <w:r>
              <w:rPr>
                <w:b/>
                <w:bCs/>
                <w:color w:val="FFFFFF"/>
                <w:sz w:val="19"/>
                <w:szCs w:val="19"/>
              </w:rPr>
              <w:t>Return Period</w:t>
            </w:r>
          </w:p>
        </w:tc>
        <w:tc>
          <w:tcPr>
            <w:tcW w:w="1831"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2426AC98" w14:textId="77777777" w:rsidR="00E46E76" w:rsidRDefault="00000000">
            <w:r>
              <w:rPr>
                <w:b/>
                <w:bCs/>
                <w:color w:val="FFFFFF"/>
                <w:sz w:val="19"/>
                <w:szCs w:val="19"/>
              </w:rPr>
              <w:t>HQ DME — GEV (m³/s)</w:t>
            </w:r>
          </w:p>
        </w:tc>
        <w:tc>
          <w:tcPr>
            <w:tcW w:w="1831"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7AB81137" w14:textId="77777777" w:rsidR="00E46E76" w:rsidRDefault="00000000">
            <w:r>
              <w:rPr>
                <w:b/>
                <w:bCs/>
                <w:color w:val="FFFFFF"/>
                <w:sz w:val="19"/>
                <w:szCs w:val="19"/>
              </w:rPr>
              <w:t>HQ MMA — GEV (m³/s)</w:t>
            </w:r>
          </w:p>
        </w:tc>
        <w:tc>
          <w:tcPr>
            <w:tcW w:w="1831"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02796E8F" w14:textId="77777777" w:rsidR="00E46E76" w:rsidRDefault="00000000">
            <w:r>
              <w:rPr>
                <w:b/>
                <w:bCs/>
                <w:color w:val="FFFFFF"/>
                <w:sz w:val="19"/>
                <w:szCs w:val="19"/>
              </w:rPr>
              <w:t>HQ DME — Gumbel (m³/s)</w:t>
            </w:r>
          </w:p>
        </w:tc>
        <w:tc>
          <w:tcPr>
            <w:tcW w:w="1831"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079315EE" w14:textId="77777777" w:rsidR="00E46E76" w:rsidRDefault="00000000">
            <w:r>
              <w:rPr>
                <w:b/>
                <w:bCs/>
                <w:color w:val="FFFFFF"/>
                <w:sz w:val="19"/>
                <w:szCs w:val="19"/>
              </w:rPr>
              <w:t>HQ MMA — Gumbel (m³/s)</w:t>
            </w:r>
          </w:p>
        </w:tc>
      </w:tr>
      <w:tr w:rsidR="00E46E76" w14:paraId="7445A09E" w14:textId="77777777">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03BA2" w14:textId="77777777" w:rsidR="00E46E76" w:rsidRDefault="00000000">
            <w:r>
              <w:rPr>
                <w:b/>
                <w:bCs/>
                <w:color w:val="2C2C2C"/>
                <w:sz w:val="19"/>
                <w:szCs w:val="19"/>
              </w:rPr>
              <w:t>10 years (P_ne = 0.90)</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CB100" w14:textId="77777777" w:rsidR="00E46E76" w:rsidRDefault="00000000">
            <w:r>
              <w:rPr>
                <w:color w:val="2C2C2C"/>
                <w:sz w:val="19"/>
                <w:szCs w:val="19"/>
              </w:rPr>
              <w:t>18.3</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F0174" w14:textId="77777777" w:rsidR="00E46E76" w:rsidRDefault="00000000">
            <w:r>
              <w:rPr>
                <w:color w:val="2C2C2C"/>
                <w:sz w:val="19"/>
                <w:szCs w:val="19"/>
              </w:rPr>
              <w:t>32.5</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B77851" w14:textId="77777777" w:rsidR="00E46E76" w:rsidRDefault="00000000">
            <w:r>
              <w:rPr>
                <w:color w:val="2C2C2C"/>
                <w:sz w:val="19"/>
                <w:szCs w:val="19"/>
              </w:rPr>
              <w:t>18.6</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F5F3F" w14:textId="77777777" w:rsidR="00E46E76" w:rsidRDefault="00000000">
            <w:r>
              <w:rPr>
                <w:color w:val="2C2C2C"/>
                <w:sz w:val="19"/>
                <w:szCs w:val="19"/>
              </w:rPr>
              <w:t>32.5</w:t>
            </w:r>
          </w:p>
        </w:tc>
      </w:tr>
      <w:tr w:rsidR="00E46E76" w14:paraId="6562F140" w14:textId="77777777">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E2FB819" w14:textId="77777777" w:rsidR="00E46E76" w:rsidRDefault="00000000">
            <w:r>
              <w:rPr>
                <w:b/>
                <w:bCs/>
                <w:color w:val="2C2C2C"/>
                <w:sz w:val="19"/>
                <w:szCs w:val="19"/>
              </w:rPr>
              <w:t>50 years (P_ne = 0.98)</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77B66F45" w14:textId="77777777" w:rsidR="00E46E76" w:rsidRDefault="00000000">
            <w:r>
              <w:rPr>
                <w:color w:val="2C2C2C"/>
                <w:sz w:val="19"/>
                <w:szCs w:val="19"/>
              </w:rPr>
              <w:t>31.6</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CD7A241" w14:textId="77777777" w:rsidR="00E46E76" w:rsidRDefault="00000000">
            <w:r>
              <w:rPr>
                <w:color w:val="2C2C2C"/>
                <w:sz w:val="19"/>
                <w:szCs w:val="19"/>
              </w:rPr>
              <w:t>47.7</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67785893" w14:textId="77777777" w:rsidR="00E46E76" w:rsidRDefault="00000000">
            <w:r>
              <w:rPr>
                <w:color w:val="2C2C2C"/>
                <w:sz w:val="19"/>
                <w:szCs w:val="19"/>
              </w:rPr>
              <w:t>27.4</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0EEAEBC1" w14:textId="77777777" w:rsidR="00E46E76" w:rsidRDefault="00000000">
            <w:r>
              <w:rPr>
                <w:color w:val="2C2C2C"/>
                <w:sz w:val="19"/>
                <w:szCs w:val="19"/>
              </w:rPr>
              <w:t>46.8</w:t>
            </w:r>
          </w:p>
        </w:tc>
      </w:tr>
    </w:tbl>
    <w:p w14:paraId="1FCE0F8D" w14:textId="77777777" w:rsidR="00E46E76" w:rsidRDefault="00E46E76">
      <w:pPr>
        <w:spacing w:after="120"/>
      </w:pPr>
    </w:p>
    <w:p w14:paraId="3F374BE5" w14:textId="77777777" w:rsidR="00E46E76" w:rsidRDefault="00000000">
      <w:pPr>
        <w:spacing w:before="80" w:after="80" w:line="300" w:lineRule="auto"/>
        <w:jc w:val="both"/>
      </w:pPr>
      <w:r>
        <w:rPr>
          <w:color w:val="2C2C2C"/>
        </w:rPr>
        <w:t>The MMA dataset consistently produces higher design flood estimates than DME for both distributions, as expected — instantaneous monthly peaks capture higher short-duration flows than 24-hour averages. The GEV distribution yields higher estimates than Gumbel at longer return periods, making GEV more appropriate for risk-averse infrastructure design.</w:t>
      </w:r>
    </w:p>
    <w:p w14:paraId="47676875" w14:textId="77777777" w:rsidR="00E46E76" w:rsidRDefault="00E46E76">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6E76" w14:paraId="055DF981"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1B6CA879" w14:textId="77777777" w:rsidR="006D47B0" w:rsidRDefault="006D47B0">
            <w:pPr>
              <w:jc w:val="center"/>
              <w:rPr>
                <w:b/>
                <w:bCs/>
                <w:color w:val="0A7B74"/>
              </w:rPr>
            </w:pPr>
          </w:p>
          <w:p w14:paraId="23FE5DB4" w14:textId="59FC990B" w:rsidR="006D47B0" w:rsidRDefault="006D47B0">
            <w:pPr>
              <w:jc w:val="center"/>
              <w:rPr>
                <w:b/>
                <w:bCs/>
                <w:color w:val="0A7B74"/>
              </w:rPr>
            </w:pPr>
            <w:r w:rsidRPr="006D47B0">
              <w:rPr>
                <w:b/>
                <w:bCs/>
                <w:noProof/>
                <w:color w:val="0A7B74"/>
              </w:rPr>
              <w:drawing>
                <wp:inline distT="0" distB="0" distL="0" distR="0" wp14:anchorId="4A882CBD" wp14:editId="32B97EC3">
                  <wp:extent cx="3257550" cy="2017579"/>
                  <wp:effectExtent l="0" t="0" r="0" b="1905"/>
                  <wp:docPr id="182258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82046" name=""/>
                          <pic:cNvPicPr/>
                        </pic:nvPicPr>
                        <pic:blipFill>
                          <a:blip r:embed="rId13"/>
                          <a:stretch>
                            <a:fillRect/>
                          </a:stretch>
                        </pic:blipFill>
                        <pic:spPr>
                          <a:xfrm>
                            <a:off x="0" y="0"/>
                            <a:ext cx="3267263" cy="2023595"/>
                          </a:xfrm>
                          <a:prstGeom prst="rect">
                            <a:avLst/>
                          </a:prstGeom>
                        </pic:spPr>
                      </pic:pic>
                    </a:graphicData>
                  </a:graphic>
                </wp:inline>
              </w:drawing>
            </w:r>
          </w:p>
          <w:p w14:paraId="651F294B" w14:textId="3287EF91" w:rsidR="00E46E76" w:rsidRDefault="00000000">
            <w:pPr>
              <w:jc w:val="center"/>
            </w:pPr>
            <w:r>
              <w:rPr>
                <w:b/>
                <w:bCs/>
                <w:color w:val="0A7B74"/>
              </w:rPr>
              <w:t>📷  Figure 4 — Flood frequency curves: Probability of non-exceedance vs. discharge (left) and return period vs. discharge (right) for GEV and Gumbel fitted to DME and MMA datasets</w:t>
            </w:r>
          </w:p>
          <w:p w14:paraId="77800573" w14:textId="77777777" w:rsidR="00E46E76" w:rsidRDefault="00000000">
            <w:pPr>
              <w:spacing w:before="60"/>
              <w:jc w:val="center"/>
            </w:pPr>
            <w:r>
              <w:rPr>
                <w:i/>
                <w:iCs/>
                <w:color w:val="666666"/>
                <w:sz w:val="18"/>
                <w:szCs w:val="18"/>
              </w:rPr>
              <w:t>Source: Hahle.pdf — Pages 17–18 (Figures 3-6 and 3-7)</w:t>
            </w:r>
          </w:p>
        </w:tc>
      </w:tr>
    </w:tbl>
    <w:p w14:paraId="01396C8F" w14:textId="77777777" w:rsidR="00E46E76" w:rsidRDefault="00E46E76">
      <w:pPr>
        <w:spacing w:after="160"/>
      </w:pPr>
    </w:p>
    <w:p w14:paraId="13066140" w14:textId="77777777" w:rsidR="00E46E76" w:rsidRDefault="00000000">
      <w:pPr>
        <w:spacing w:before="160" w:after="80"/>
      </w:pPr>
      <w:r>
        <w:rPr>
          <w:b/>
          <w:bCs/>
          <w:color w:val="0A1628"/>
          <w:sz w:val="23"/>
          <w:szCs w:val="23"/>
        </w:rPr>
        <w:t>3.4  HBV-IWW Model Setup</w:t>
      </w:r>
    </w:p>
    <w:p w14:paraId="76CD89AC" w14:textId="77777777" w:rsidR="00E46E76" w:rsidRDefault="00000000">
      <w:pPr>
        <w:spacing w:before="80" w:after="80" w:line="300" w:lineRule="auto"/>
        <w:jc w:val="both"/>
      </w:pPr>
      <w:r>
        <w:rPr>
          <w:color w:val="2C2C2C"/>
        </w:rPr>
        <w:t>The semi-distributed HBV-IWW model (a modified version of the SMHI HBV model) was configured for the Hahle catchment with two sub-catchments (W01: Westerode upstream; W02: Rollshausen downstream). The model operates at a daily time step with a sub-daily partitioning factor of 96 (effectively 15-minute internal steps). Input data comprised daily precipitation, temperature, potential evapotranspiration, and crop coefficient for the period 1950–2013.</w:t>
      </w:r>
    </w:p>
    <w:p w14:paraId="46278462" w14:textId="77777777" w:rsidR="00E46E76" w:rsidRDefault="00E46E76">
      <w:pPr>
        <w:spacing w:after="60"/>
      </w:pPr>
    </w:p>
    <w:p w14:paraId="750E6D41" w14:textId="77777777" w:rsidR="00E46E76" w:rsidRDefault="00000000">
      <w:pPr>
        <w:spacing w:before="80" w:after="80" w:line="300" w:lineRule="auto"/>
        <w:jc w:val="both"/>
      </w:pPr>
      <w:r>
        <w:rPr>
          <w:color w:val="2C2C2C"/>
        </w:rPr>
        <w:t>The model structure comprises five routines: snow (degree-day snowmelt), soil moisture (field capacity FC, shape factor β, LP threshold), response (upper groundwater UZ producing direct runoff Q0, interflow Q1, and percolation to lower zone; lower groundwater LZ producing baseflow Q2), transformation (triangular unit hydrograph, parameter maxbas), and river routing (Muskingum method with weighting factor mx = 0.2 and lag time mk derived from Manning–Strickler hydraulics).</w:t>
      </w:r>
    </w:p>
    <w:p w14:paraId="458245A8" w14:textId="77777777" w:rsidR="00E46E76" w:rsidRDefault="00E46E76">
      <w:pPr>
        <w:spacing w:after="60"/>
      </w:pPr>
    </w:p>
    <w:p w14:paraId="31B71F5D" w14:textId="77777777" w:rsidR="00E46E76" w:rsidRDefault="00000000">
      <w:pPr>
        <w:spacing w:before="80" w:after="80" w:line="300" w:lineRule="auto"/>
        <w:jc w:val="both"/>
      </w:pPr>
      <w:r>
        <w:rPr>
          <w:color w:val="2C2C2C"/>
        </w:rPr>
        <w:t>The Muskingum lag time mk was calculated using the Manning–Strickler equation with river dimensions measured from Google Earth (width = 11.95 m) and estimated water depth (1.1 m), yielding a mean flow velocity of 0.948 m/s and a lag time of 1.17 hours for the 4,007.71 m river reach at the Rollshausen outlet (reach slope 0.00352 from ArcGIS Pro).</w:t>
      </w:r>
    </w:p>
    <w:p w14:paraId="593B0AC0" w14:textId="77777777" w:rsidR="00E46E76" w:rsidRDefault="00E46E76">
      <w:pPr>
        <w:spacing w:after="280"/>
      </w:pPr>
    </w:p>
    <w:p w14:paraId="49184B08" w14:textId="77777777" w:rsidR="00E46E76" w:rsidRDefault="00000000">
      <w:pPr>
        <w:shd w:val="clear" w:color="auto" w:fill="0A7B74"/>
        <w:spacing w:before="320" w:after="160"/>
        <w:ind w:left="120" w:right="120"/>
      </w:pPr>
      <w:r>
        <w:rPr>
          <w:b/>
          <w:bCs/>
          <w:color w:val="FFFFFF"/>
          <w:sz w:val="24"/>
          <w:szCs w:val="24"/>
        </w:rPr>
        <w:t>4. KEY FINDINGS</w:t>
      </w:r>
    </w:p>
    <w:p w14:paraId="44033F3B" w14:textId="77777777" w:rsidR="00E46E76" w:rsidRDefault="00E46E76">
      <w:pPr>
        <w:spacing w:after="80"/>
      </w:pPr>
    </w:p>
    <w:p w14:paraId="4B9DA5A8" w14:textId="77777777" w:rsidR="00E46E76" w:rsidRDefault="00000000">
      <w:pPr>
        <w:spacing w:before="160" w:after="80"/>
      </w:pPr>
      <w:r>
        <w:rPr>
          <w:b/>
          <w:bCs/>
          <w:color w:val="0A1628"/>
          <w:sz w:val="23"/>
          <w:szCs w:val="23"/>
        </w:rPr>
        <w:t>4.1  Sensitivity Analysis Results</w:t>
      </w:r>
    </w:p>
    <w:p w14:paraId="79E8F518" w14:textId="77777777" w:rsidR="00E46E76" w:rsidRDefault="00000000">
      <w:pPr>
        <w:spacing w:before="80" w:after="80" w:line="300" w:lineRule="auto"/>
        <w:jc w:val="both"/>
      </w:pPr>
      <w:r>
        <w:rPr>
          <w:color w:val="2C2C2C"/>
        </w:rPr>
        <w:t>A one-dimensional sensitivity analysis was conducted for all 12 HBV-IWW parameters over the 1985 calendar year, with 1979 as warm-up, varying each parameter across its full range at 25% intervals. NSE values and seasonal hydrographs (winter and summer) were examined to identify the most influential parameters.</w:t>
      </w:r>
    </w:p>
    <w:p w14:paraId="790F9C77" w14:textId="77777777" w:rsidR="00E46E76" w:rsidRDefault="00E46E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2"/>
        <w:gridCol w:w="1415"/>
        <w:gridCol w:w="2359"/>
        <w:gridCol w:w="2359"/>
        <w:gridCol w:w="2123"/>
      </w:tblGrid>
      <w:tr w:rsidR="00E46E76" w14:paraId="5CF556FD" w14:textId="77777777">
        <w:tc>
          <w:tcPr>
            <w:tcW w:w="964"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66F28015" w14:textId="77777777" w:rsidR="00E46E76" w:rsidRDefault="00000000">
            <w:r>
              <w:rPr>
                <w:b/>
                <w:bCs/>
                <w:color w:val="FFFFFF"/>
                <w:sz w:val="19"/>
                <w:szCs w:val="19"/>
              </w:rPr>
              <w:t>Parameter</w:t>
            </w:r>
          </w:p>
        </w:tc>
        <w:tc>
          <w:tcPr>
            <w:tcW w:w="1157"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00289367" w14:textId="77777777" w:rsidR="00E46E76" w:rsidRDefault="00000000">
            <w:r>
              <w:rPr>
                <w:b/>
                <w:bCs/>
                <w:color w:val="FFFFFF"/>
                <w:sz w:val="19"/>
                <w:szCs w:val="19"/>
              </w:rPr>
              <w:t>Routine</w:t>
            </w:r>
          </w:p>
        </w:tc>
        <w:tc>
          <w:tcPr>
            <w:tcW w:w="1928"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2FAB8DDE" w14:textId="77777777" w:rsidR="00E46E76" w:rsidRDefault="00000000">
            <w:r>
              <w:rPr>
                <w:b/>
                <w:bCs/>
                <w:color w:val="FFFFFF"/>
                <w:sz w:val="19"/>
                <w:szCs w:val="19"/>
              </w:rPr>
              <w:t>Winter Peak Sensitivity</w:t>
            </w:r>
          </w:p>
        </w:tc>
        <w:tc>
          <w:tcPr>
            <w:tcW w:w="1928"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636E4102" w14:textId="77777777" w:rsidR="00E46E76" w:rsidRDefault="00000000">
            <w:r>
              <w:rPr>
                <w:b/>
                <w:bCs/>
                <w:color w:val="FFFFFF"/>
                <w:sz w:val="19"/>
                <w:szCs w:val="19"/>
              </w:rPr>
              <w:t>Summer Peak Sensitivity</w:t>
            </w:r>
          </w:p>
        </w:tc>
        <w:tc>
          <w:tcPr>
            <w:tcW w:w="1735"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17C0DD45" w14:textId="77777777" w:rsidR="00E46E76" w:rsidRDefault="00000000">
            <w:r>
              <w:rPr>
                <w:b/>
                <w:bCs/>
                <w:color w:val="FFFFFF"/>
                <w:sz w:val="19"/>
                <w:szCs w:val="19"/>
              </w:rPr>
              <w:t>Baseflow Effect</w:t>
            </w:r>
          </w:p>
        </w:tc>
      </w:tr>
      <w:tr w:rsidR="00E46E76" w14:paraId="5C9AA7EC" w14:textId="77777777">
        <w:tc>
          <w:tcPr>
            <w:tcW w:w="9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70738" w14:textId="77777777" w:rsidR="00E46E76" w:rsidRDefault="00000000">
            <w:r>
              <w:rPr>
                <w:b/>
                <w:bCs/>
                <w:color w:val="2C2C2C"/>
                <w:sz w:val="19"/>
                <w:szCs w:val="19"/>
              </w:rPr>
              <w:t>hl</w:t>
            </w:r>
          </w:p>
        </w:tc>
        <w:tc>
          <w:tcPr>
            <w:tcW w:w="1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7CCAFB" w14:textId="77777777" w:rsidR="00E46E76" w:rsidRDefault="00000000">
            <w:r>
              <w:rPr>
                <w:color w:val="2C2C2C"/>
                <w:sz w:val="19"/>
                <w:szCs w:val="19"/>
              </w:rPr>
              <w:t>Response</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83DEA4" w14:textId="77777777" w:rsidR="00E46E76" w:rsidRDefault="00000000">
            <w:r>
              <w:rPr>
                <w:color w:val="2C2C2C"/>
                <w:sz w:val="19"/>
                <w:szCs w:val="19"/>
              </w:rPr>
              <w:t>High decrease</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12327" w14:textId="77777777" w:rsidR="00E46E76" w:rsidRDefault="00000000">
            <w:r>
              <w:rPr>
                <w:color w:val="2C2C2C"/>
                <w:sz w:val="19"/>
                <w:szCs w:val="19"/>
              </w:rPr>
              <w:t>High decrease</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AE6663" w14:textId="77777777" w:rsidR="00E46E76" w:rsidRDefault="00000000">
            <w:r>
              <w:rPr>
                <w:color w:val="2C2C2C"/>
                <w:sz w:val="19"/>
                <w:szCs w:val="19"/>
              </w:rPr>
              <w:t>Increase</w:t>
            </w:r>
          </w:p>
        </w:tc>
      </w:tr>
      <w:tr w:rsidR="00E46E76" w14:paraId="5181C443" w14:textId="77777777">
        <w:tc>
          <w:tcPr>
            <w:tcW w:w="96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3428FF46" w14:textId="77777777" w:rsidR="00E46E76" w:rsidRDefault="00000000">
            <w:r>
              <w:rPr>
                <w:b/>
                <w:bCs/>
                <w:color w:val="2C2C2C"/>
                <w:sz w:val="19"/>
                <w:szCs w:val="19"/>
              </w:rPr>
              <w:t>K0</w:t>
            </w:r>
          </w:p>
        </w:tc>
        <w:tc>
          <w:tcPr>
            <w:tcW w:w="115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3D5E18B" w14:textId="77777777" w:rsidR="00E46E76" w:rsidRDefault="00000000">
            <w:r>
              <w:rPr>
                <w:color w:val="2C2C2C"/>
                <w:sz w:val="19"/>
                <w:szCs w:val="19"/>
              </w:rPr>
              <w:t>Response</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5F3A656A" w14:textId="77777777" w:rsidR="00E46E76" w:rsidRDefault="00000000">
            <w:r>
              <w:rPr>
                <w:color w:val="2C2C2C"/>
                <w:sz w:val="19"/>
                <w:szCs w:val="19"/>
              </w:rPr>
              <w:t>High decrease</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5E517E21" w14:textId="77777777" w:rsidR="00E46E76" w:rsidRDefault="00000000">
            <w:r>
              <w:rPr>
                <w:color w:val="2C2C2C"/>
                <w:sz w:val="19"/>
                <w:szCs w:val="19"/>
              </w:rPr>
              <w:t>High decrease</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7760A408" w14:textId="77777777" w:rsidR="00E46E76" w:rsidRDefault="00000000">
            <w:r>
              <w:rPr>
                <w:color w:val="2C2C2C"/>
                <w:sz w:val="19"/>
                <w:szCs w:val="19"/>
              </w:rPr>
              <w:t>Negligible</w:t>
            </w:r>
          </w:p>
        </w:tc>
      </w:tr>
      <w:tr w:rsidR="00E46E76" w14:paraId="5823F717" w14:textId="77777777">
        <w:tc>
          <w:tcPr>
            <w:tcW w:w="9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313D4" w14:textId="77777777" w:rsidR="00E46E76" w:rsidRDefault="00000000">
            <w:r>
              <w:rPr>
                <w:b/>
                <w:bCs/>
                <w:color w:val="2C2C2C"/>
                <w:sz w:val="19"/>
                <w:szCs w:val="19"/>
              </w:rPr>
              <w:t>K1</w:t>
            </w:r>
          </w:p>
        </w:tc>
        <w:tc>
          <w:tcPr>
            <w:tcW w:w="1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CB5E2" w14:textId="77777777" w:rsidR="00E46E76" w:rsidRDefault="00000000">
            <w:r>
              <w:rPr>
                <w:color w:val="2C2C2C"/>
                <w:sz w:val="19"/>
                <w:szCs w:val="19"/>
              </w:rPr>
              <w:t>Response</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A8155" w14:textId="77777777" w:rsidR="00E46E76" w:rsidRDefault="00000000">
            <w:r>
              <w:rPr>
                <w:color w:val="2C2C2C"/>
                <w:sz w:val="19"/>
                <w:szCs w:val="19"/>
              </w:rPr>
              <w:t>Decrease + slight delay</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078BC" w14:textId="77777777" w:rsidR="00E46E76" w:rsidRDefault="00000000">
            <w:r>
              <w:rPr>
                <w:color w:val="2C2C2C"/>
                <w:sz w:val="19"/>
                <w:szCs w:val="19"/>
              </w:rPr>
              <w:t>Decrease + slight delay</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34C2D9" w14:textId="77777777" w:rsidR="00E46E76" w:rsidRDefault="00000000">
            <w:r>
              <w:rPr>
                <w:color w:val="2C2C2C"/>
                <w:sz w:val="19"/>
                <w:szCs w:val="19"/>
              </w:rPr>
              <w:t>Increase</w:t>
            </w:r>
          </w:p>
        </w:tc>
      </w:tr>
      <w:tr w:rsidR="00E46E76" w14:paraId="3EF5BFB2" w14:textId="77777777">
        <w:tc>
          <w:tcPr>
            <w:tcW w:w="96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76CB1BA6" w14:textId="77777777" w:rsidR="00E46E76" w:rsidRDefault="00000000">
            <w:r>
              <w:rPr>
                <w:b/>
                <w:bCs/>
                <w:color w:val="2C2C2C"/>
                <w:sz w:val="19"/>
                <w:szCs w:val="19"/>
              </w:rPr>
              <w:t>K2</w:t>
            </w:r>
          </w:p>
        </w:tc>
        <w:tc>
          <w:tcPr>
            <w:tcW w:w="115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68F09787" w14:textId="77777777" w:rsidR="00E46E76" w:rsidRDefault="00000000">
            <w:r>
              <w:rPr>
                <w:color w:val="2C2C2C"/>
                <w:sz w:val="19"/>
                <w:szCs w:val="19"/>
              </w:rPr>
              <w:t>Response</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70F2095B" w14:textId="77777777" w:rsidR="00E46E76" w:rsidRDefault="00000000">
            <w:r>
              <w:rPr>
                <w:color w:val="2C2C2C"/>
                <w:sz w:val="19"/>
                <w:szCs w:val="19"/>
              </w:rPr>
              <w:t>Very low decrease</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105DD6CE" w14:textId="77777777" w:rsidR="00E46E76" w:rsidRDefault="00000000">
            <w:r>
              <w:rPr>
                <w:color w:val="2C2C2C"/>
                <w:sz w:val="19"/>
                <w:szCs w:val="19"/>
              </w:rPr>
              <w:t>Very low decrease</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7B06624B" w14:textId="77777777" w:rsidR="00E46E76" w:rsidRDefault="00000000">
            <w:r>
              <w:rPr>
                <w:color w:val="2C2C2C"/>
                <w:sz w:val="19"/>
                <w:szCs w:val="19"/>
              </w:rPr>
              <w:t>Increase</w:t>
            </w:r>
          </w:p>
        </w:tc>
      </w:tr>
      <w:tr w:rsidR="00E46E76" w14:paraId="5254B7BB" w14:textId="77777777">
        <w:tc>
          <w:tcPr>
            <w:tcW w:w="9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7F198" w14:textId="77777777" w:rsidR="00E46E76" w:rsidRDefault="00000000">
            <w:r>
              <w:rPr>
                <w:b/>
                <w:bCs/>
                <w:color w:val="2C2C2C"/>
                <w:sz w:val="19"/>
                <w:szCs w:val="19"/>
              </w:rPr>
              <w:t>Kperc</w:t>
            </w:r>
          </w:p>
        </w:tc>
        <w:tc>
          <w:tcPr>
            <w:tcW w:w="1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C3D92" w14:textId="77777777" w:rsidR="00E46E76" w:rsidRDefault="00000000">
            <w:r>
              <w:rPr>
                <w:color w:val="2C2C2C"/>
                <w:sz w:val="19"/>
                <w:szCs w:val="19"/>
              </w:rPr>
              <w:t>Response</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2CC80" w14:textId="77777777" w:rsidR="00E46E76" w:rsidRDefault="00000000">
            <w:r>
              <w:rPr>
                <w:color w:val="2C2C2C"/>
                <w:sz w:val="19"/>
                <w:szCs w:val="19"/>
              </w:rPr>
              <w:t>High increase</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0C28C3" w14:textId="77777777" w:rsidR="00E46E76" w:rsidRDefault="00000000">
            <w:r>
              <w:rPr>
                <w:color w:val="2C2C2C"/>
                <w:sz w:val="19"/>
                <w:szCs w:val="19"/>
              </w:rPr>
              <w:t>Increase</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8487A6" w14:textId="77777777" w:rsidR="00E46E76" w:rsidRDefault="00000000">
            <w:r>
              <w:rPr>
                <w:color w:val="2C2C2C"/>
                <w:sz w:val="19"/>
                <w:szCs w:val="19"/>
              </w:rPr>
              <w:t>Low decrease</w:t>
            </w:r>
          </w:p>
        </w:tc>
      </w:tr>
      <w:tr w:rsidR="00E46E76" w14:paraId="6EFEFD49" w14:textId="77777777">
        <w:tc>
          <w:tcPr>
            <w:tcW w:w="96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17196544" w14:textId="77777777" w:rsidR="00E46E76" w:rsidRDefault="00000000">
            <w:r>
              <w:rPr>
                <w:b/>
                <w:bCs/>
                <w:color w:val="2C2C2C"/>
                <w:sz w:val="19"/>
                <w:szCs w:val="19"/>
              </w:rPr>
              <w:t>fc</w:t>
            </w:r>
          </w:p>
        </w:tc>
        <w:tc>
          <w:tcPr>
            <w:tcW w:w="115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444E9D7F" w14:textId="77777777" w:rsidR="00E46E76" w:rsidRDefault="00000000">
            <w:r>
              <w:rPr>
                <w:color w:val="2C2C2C"/>
                <w:sz w:val="19"/>
                <w:szCs w:val="19"/>
              </w:rPr>
              <w:t>Soil</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16FCE908" w14:textId="77777777" w:rsidR="00E46E76" w:rsidRDefault="00000000">
            <w:r>
              <w:rPr>
                <w:color w:val="2C2C2C"/>
                <w:sz w:val="19"/>
                <w:szCs w:val="19"/>
              </w:rPr>
              <w:t>Decrease</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7F848DDA" w14:textId="77777777" w:rsidR="00E46E76" w:rsidRDefault="00000000">
            <w:r>
              <w:rPr>
                <w:color w:val="2C2C2C"/>
                <w:sz w:val="19"/>
                <w:szCs w:val="19"/>
              </w:rPr>
              <w:t>High decrease</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1B42DC02" w14:textId="77777777" w:rsidR="00E46E76" w:rsidRDefault="00000000">
            <w:r>
              <w:rPr>
                <w:color w:val="2C2C2C"/>
                <w:sz w:val="19"/>
                <w:szCs w:val="19"/>
              </w:rPr>
              <w:t>Decrease</w:t>
            </w:r>
          </w:p>
        </w:tc>
      </w:tr>
      <w:tr w:rsidR="00E46E76" w14:paraId="75632B46" w14:textId="77777777">
        <w:tc>
          <w:tcPr>
            <w:tcW w:w="9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7BB13" w14:textId="77777777" w:rsidR="00E46E76" w:rsidRDefault="00000000">
            <w:r>
              <w:rPr>
                <w:b/>
                <w:bCs/>
                <w:color w:val="2C2C2C"/>
                <w:sz w:val="19"/>
                <w:szCs w:val="19"/>
              </w:rPr>
              <w:t>lp</w:t>
            </w:r>
          </w:p>
        </w:tc>
        <w:tc>
          <w:tcPr>
            <w:tcW w:w="1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0B4ED" w14:textId="77777777" w:rsidR="00E46E76" w:rsidRDefault="00000000">
            <w:r>
              <w:rPr>
                <w:color w:val="2C2C2C"/>
                <w:sz w:val="19"/>
                <w:szCs w:val="19"/>
              </w:rPr>
              <w:t>Soil</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9A697" w14:textId="77777777" w:rsidR="00E46E76" w:rsidRDefault="00000000">
            <w:r>
              <w:rPr>
                <w:color w:val="2C2C2C"/>
                <w:sz w:val="19"/>
                <w:szCs w:val="19"/>
              </w:rPr>
              <w:t>Low increase</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C8B511" w14:textId="77777777" w:rsidR="00E46E76" w:rsidRDefault="00000000">
            <w:r>
              <w:rPr>
                <w:color w:val="2C2C2C"/>
                <w:sz w:val="19"/>
                <w:szCs w:val="19"/>
              </w:rPr>
              <w:t>High increase</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D70839" w14:textId="77777777" w:rsidR="00E46E76" w:rsidRDefault="00000000">
            <w:r>
              <w:rPr>
                <w:color w:val="2C2C2C"/>
                <w:sz w:val="19"/>
                <w:szCs w:val="19"/>
              </w:rPr>
              <w:t>Increase</w:t>
            </w:r>
          </w:p>
        </w:tc>
      </w:tr>
      <w:tr w:rsidR="00E46E76" w14:paraId="3E03FC48" w14:textId="77777777">
        <w:tc>
          <w:tcPr>
            <w:tcW w:w="96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788021F3" w14:textId="77777777" w:rsidR="00E46E76" w:rsidRDefault="00000000">
            <w:r>
              <w:rPr>
                <w:b/>
                <w:bCs/>
                <w:color w:val="2C2C2C"/>
                <w:sz w:val="19"/>
                <w:szCs w:val="19"/>
              </w:rPr>
              <w:t>wsmf</w:t>
            </w:r>
          </w:p>
        </w:tc>
        <w:tc>
          <w:tcPr>
            <w:tcW w:w="115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66A35B7D" w14:textId="77777777" w:rsidR="00E46E76" w:rsidRDefault="00000000">
            <w:r>
              <w:rPr>
                <w:color w:val="2C2C2C"/>
                <w:sz w:val="19"/>
                <w:szCs w:val="19"/>
              </w:rPr>
              <w:t>Snow</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3F9C020" w14:textId="77777777" w:rsidR="00E46E76" w:rsidRDefault="00000000">
            <w:r>
              <w:rPr>
                <w:color w:val="2C2C2C"/>
                <w:sz w:val="19"/>
                <w:szCs w:val="19"/>
              </w:rPr>
              <w:t>Negligible</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3F4C4CD0" w14:textId="77777777" w:rsidR="00E46E76" w:rsidRDefault="00000000">
            <w:r>
              <w:rPr>
                <w:color w:val="2C2C2C"/>
                <w:sz w:val="19"/>
                <w:szCs w:val="19"/>
              </w:rPr>
              <w:t>Negligible</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6D2BA273" w14:textId="77777777" w:rsidR="00E46E76" w:rsidRDefault="00000000">
            <w:r>
              <w:rPr>
                <w:color w:val="2C2C2C"/>
                <w:sz w:val="19"/>
                <w:szCs w:val="19"/>
              </w:rPr>
              <w:t>Negligible</w:t>
            </w:r>
          </w:p>
        </w:tc>
      </w:tr>
      <w:tr w:rsidR="00E46E76" w14:paraId="12AEA8C8" w14:textId="77777777">
        <w:tc>
          <w:tcPr>
            <w:tcW w:w="9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F21C37" w14:textId="77777777" w:rsidR="00E46E76" w:rsidRDefault="00000000">
            <w:r>
              <w:rPr>
                <w:b/>
                <w:bCs/>
                <w:color w:val="2C2C2C"/>
                <w:sz w:val="19"/>
                <w:szCs w:val="19"/>
              </w:rPr>
              <w:t>tt</w:t>
            </w:r>
          </w:p>
        </w:tc>
        <w:tc>
          <w:tcPr>
            <w:tcW w:w="1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13D74" w14:textId="77777777" w:rsidR="00E46E76" w:rsidRDefault="00000000">
            <w:r>
              <w:rPr>
                <w:color w:val="2C2C2C"/>
                <w:sz w:val="19"/>
                <w:szCs w:val="19"/>
              </w:rPr>
              <w:t>Snow</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0F4BF4" w14:textId="77777777" w:rsidR="00E46E76" w:rsidRDefault="00000000">
            <w:r>
              <w:rPr>
                <w:color w:val="2C2C2C"/>
                <w:sz w:val="19"/>
                <w:szCs w:val="19"/>
              </w:rPr>
              <w:t>Negligible</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E1AE0D" w14:textId="77777777" w:rsidR="00E46E76" w:rsidRDefault="00000000">
            <w:r>
              <w:rPr>
                <w:color w:val="2C2C2C"/>
                <w:sz w:val="19"/>
                <w:szCs w:val="19"/>
              </w:rPr>
              <w:t>Negligible</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DEFD77" w14:textId="77777777" w:rsidR="00E46E76" w:rsidRDefault="00000000">
            <w:r>
              <w:rPr>
                <w:color w:val="2C2C2C"/>
                <w:sz w:val="19"/>
                <w:szCs w:val="19"/>
              </w:rPr>
              <w:t>Negligible</w:t>
            </w:r>
          </w:p>
        </w:tc>
      </w:tr>
      <w:tr w:rsidR="00E46E76" w14:paraId="7BA86A42" w14:textId="77777777">
        <w:tc>
          <w:tcPr>
            <w:tcW w:w="96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518DBF85" w14:textId="77777777" w:rsidR="00E46E76" w:rsidRDefault="00000000">
            <w:r>
              <w:rPr>
                <w:b/>
                <w:bCs/>
                <w:color w:val="2C2C2C"/>
                <w:sz w:val="19"/>
                <w:szCs w:val="19"/>
              </w:rPr>
              <w:t>dd</w:t>
            </w:r>
          </w:p>
        </w:tc>
        <w:tc>
          <w:tcPr>
            <w:tcW w:w="115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45F93A5E" w14:textId="77777777" w:rsidR="00E46E76" w:rsidRDefault="00000000">
            <w:r>
              <w:rPr>
                <w:color w:val="2C2C2C"/>
                <w:sz w:val="19"/>
                <w:szCs w:val="19"/>
              </w:rPr>
              <w:t>Snow</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0540F4F4" w14:textId="77777777" w:rsidR="00E46E76" w:rsidRDefault="00000000">
            <w:r>
              <w:rPr>
                <w:color w:val="2C2C2C"/>
                <w:sz w:val="19"/>
                <w:szCs w:val="19"/>
              </w:rPr>
              <w:t>Low decrease</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801EF16" w14:textId="77777777" w:rsidR="00E46E76" w:rsidRDefault="00000000">
            <w:r>
              <w:rPr>
                <w:color w:val="2C2C2C"/>
                <w:sz w:val="19"/>
                <w:szCs w:val="19"/>
              </w:rPr>
              <w:t>Negligible</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6D3DEC8A" w14:textId="77777777" w:rsidR="00E46E76" w:rsidRDefault="00000000">
            <w:r>
              <w:rPr>
                <w:color w:val="2C2C2C"/>
                <w:sz w:val="19"/>
                <w:szCs w:val="19"/>
              </w:rPr>
              <w:t>Negligible</w:t>
            </w:r>
          </w:p>
        </w:tc>
      </w:tr>
      <w:tr w:rsidR="00E46E76" w14:paraId="78B1E7AB" w14:textId="77777777">
        <w:tc>
          <w:tcPr>
            <w:tcW w:w="9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015732" w14:textId="77777777" w:rsidR="00E46E76" w:rsidRDefault="00000000">
            <w:r>
              <w:rPr>
                <w:b/>
                <w:bCs/>
                <w:color w:val="2C2C2C"/>
                <w:sz w:val="19"/>
                <w:szCs w:val="19"/>
              </w:rPr>
              <w:t>maxbas</w:t>
            </w:r>
          </w:p>
        </w:tc>
        <w:tc>
          <w:tcPr>
            <w:tcW w:w="1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7ADE52" w14:textId="77777777" w:rsidR="00E46E76" w:rsidRDefault="00000000">
            <w:r>
              <w:rPr>
                <w:color w:val="2C2C2C"/>
                <w:sz w:val="19"/>
                <w:szCs w:val="19"/>
              </w:rPr>
              <w:t>Transform</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AFE2BA" w14:textId="77777777" w:rsidR="00E46E76" w:rsidRDefault="00000000">
            <w:r>
              <w:rPr>
                <w:color w:val="2C2C2C"/>
                <w:sz w:val="19"/>
                <w:szCs w:val="19"/>
              </w:rPr>
              <w:t>Negligible</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99EBD6" w14:textId="77777777" w:rsidR="00E46E76" w:rsidRDefault="00000000">
            <w:r>
              <w:rPr>
                <w:color w:val="2C2C2C"/>
                <w:sz w:val="19"/>
                <w:szCs w:val="19"/>
              </w:rPr>
              <w:t>Negligible</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F94AA7" w14:textId="77777777" w:rsidR="00E46E76" w:rsidRDefault="00000000">
            <w:r>
              <w:rPr>
                <w:color w:val="2C2C2C"/>
                <w:sz w:val="19"/>
                <w:szCs w:val="19"/>
              </w:rPr>
              <w:t>Negligible</w:t>
            </w:r>
          </w:p>
        </w:tc>
      </w:tr>
      <w:tr w:rsidR="00E46E76" w14:paraId="4FFE0DD4" w14:textId="77777777">
        <w:tc>
          <w:tcPr>
            <w:tcW w:w="96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5C1186D4" w14:textId="77777777" w:rsidR="00E46E76" w:rsidRDefault="00000000">
            <w:r>
              <w:rPr>
                <w:b/>
                <w:bCs/>
                <w:color w:val="2C2C2C"/>
                <w:sz w:val="19"/>
                <w:szCs w:val="19"/>
              </w:rPr>
              <w:t>β</w:t>
            </w:r>
          </w:p>
        </w:tc>
        <w:tc>
          <w:tcPr>
            <w:tcW w:w="115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76E48A9" w14:textId="77777777" w:rsidR="00E46E76" w:rsidRDefault="00000000">
            <w:r>
              <w:rPr>
                <w:color w:val="2C2C2C"/>
                <w:sz w:val="19"/>
                <w:szCs w:val="19"/>
              </w:rPr>
              <w:t>Soil</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4CE64679" w14:textId="77777777" w:rsidR="00E46E76" w:rsidRDefault="00000000">
            <w:r>
              <w:rPr>
                <w:color w:val="2C2C2C"/>
                <w:sz w:val="19"/>
                <w:szCs w:val="19"/>
              </w:rPr>
              <w:t>Negligible</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392A69F2" w14:textId="77777777" w:rsidR="00E46E76" w:rsidRDefault="00000000">
            <w:r>
              <w:rPr>
                <w:color w:val="2C2C2C"/>
                <w:sz w:val="19"/>
                <w:szCs w:val="19"/>
              </w:rPr>
              <w:t>Negligible</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B2F4886" w14:textId="77777777" w:rsidR="00E46E76" w:rsidRDefault="00000000">
            <w:r>
              <w:rPr>
                <w:color w:val="2C2C2C"/>
                <w:sz w:val="19"/>
                <w:szCs w:val="19"/>
              </w:rPr>
              <w:t>Negligible</w:t>
            </w:r>
          </w:p>
        </w:tc>
      </w:tr>
    </w:tbl>
    <w:p w14:paraId="60654CFD" w14:textId="77777777" w:rsidR="00E46E76" w:rsidRDefault="00E46E76">
      <w:pPr>
        <w:spacing w:after="120"/>
      </w:pPr>
    </w:p>
    <w:p w14:paraId="294770FC" w14:textId="3500F466" w:rsidR="006D47B0" w:rsidRDefault="00000000">
      <w:pPr>
        <w:spacing w:before="80" w:after="80" w:line="300" w:lineRule="auto"/>
        <w:jc w:val="both"/>
        <w:rPr>
          <w:color w:val="2C2C2C"/>
        </w:rPr>
      </w:pPr>
      <w:r>
        <w:rPr>
          <w:color w:val="2C2C2C"/>
        </w:rPr>
        <w:t>The response routine parameters (hl, K0, Kperc) were the most influential across both seasons — controlling the partitioning between fast direct runoff, interflow, and deeper percolation. Soil routine parameters (fc, lp) were most sensitive in summer, when evapotranspiration and soil moisture deficits directly control runoff generation. Snow routine parameters (wsmf, tt, dd) showed minimal influence, confirming that the Hahle catchment's hydrology is not dominated by snowmelt processes. The transformation parameter maxbas and shape factor β had negligible effect on NSE or hydrograph shape.</w:t>
      </w:r>
    </w:p>
    <w:p w14:paraId="00ACB909" w14:textId="77777777" w:rsidR="006D47B0" w:rsidRDefault="006D47B0">
      <w:pPr>
        <w:rPr>
          <w:color w:val="2C2C2C"/>
        </w:rPr>
      </w:pPr>
      <w:r>
        <w:rPr>
          <w:color w:val="2C2C2C"/>
        </w:rPr>
        <w:br w:type="page"/>
      </w:r>
    </w:p>
    <w:p w14:paraId="55C656E8" w14:textId="77777777" w:rsidR="00E46E76" w:rsidRDefault="00E46E76">
      <w:pPr>
        <w:spacing w:before="80" w:after="80" w:line="300" w:lineRule="auto"/>
        <w:jc w:val="both"/>
      </w:pPr>
    </w:p>
    <w:p w14:paraId="34C63CAE" w14:textId="77777777" w:rsidR="00E46E76" w:rsidRDefault="00E46E76">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6E76" w14:paraId="57A13951"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588D235C" w14:textId="155AADCF" w:rsidR="006D47B0" w:rsidRDefault="00152485">
            <w:pPr>
              <w:jc w:val="center"/>
              <w:rPr>
                <w:b/>
                <w:bCs/>
                <w:color w:val="0A7B74"/>
              </w:rPr>
            </w:pPr>
            <w:r w:rsidRPr="00152485">
              <w:rPr>
                <w:b/>
                <w:bCs/>
                <w:noProof/>
                <w:color w:val="0A7B74"/>
              </w:rPr>
              <w:drawing>
                <wp:inline distT="0" distB="0" distL="0" distR="0" wp14:anchorId="52CAAB99" wp14:editId="46A2F3ED">
                  <wp:extent cx="3390900" cy="1582866"/>
                  <wp:effectExtent l="0" t="0" r="0" b="0"/>
                  <wp:docPr id="107087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79970" name=""/>
                          <pic:cNvPicPr/>
                        </pic:nvPicPr>
                        <pic:blipFill>
                          <a:blip r:embed="rId14"/>
                          <a:stretch>
                            <a:fillRect/>
                          </a:stretch>
                        </pic:blipFill>
                        <pic:spPr>
                          <a:xfrm>
                            <a:off x="0" y="0"/>
                            <a:ext cx="3449244" cy="1610101"/>
                          </a:xfrm>
                          <a:prstGeom prst="rect">
                            <a:avLst/>
                          </a:prstGeom>
                        </pic:spPr>
                      </pic:pic>
                    </a:graphicData>
                  </a:graphic>
                </wp:inline>
              </w:drawing>
            </w:r>
          </w:p>
          <w:p w14:paraId="3C49C171" w14:textId="77777777" w:rsidR="00152485" w:rsidRDefault="00152485">
            <w:pPr>
              <w:jc w:val="center"/>
              <w:rPr>
                <w:b/>
                <w:bCs/>
                <w:color w:val="0A7B74"/>
              </w:rPr>
            </w:pPr>
          </w:p>
          <w:p w14:paraId="2A581F04" w14:textId="2207BDA3" w:rsidR="00152485" w:rsidRDefault="00152485">
            <w:pPr>
              <w:jc w:val="center"/>
              <w:rPr>
                <w:b/>
                <w:bCs/>
                <w:color w:val="0A7B74"/>
              </w:rPr>
            </w:pPr>
            <w:r w:rsidRPr="00152485">
              <w:rPr>
                <w:b/>
                <w:bCs/>
                <w:noProof/>
                <w:color w:val="0A7B74"/>
              </w:rPr>
              <w:drawing>
                <wp:inline distT="0" distB="0" distL="0" distR="0" wp14:anchorId="1E02E5CB" wp14:editId="1D43B084">
                  <wp:extent cx="3872230" cy="1562873"/>
                  <wp:effectExtent l="0" t="0" r="0" b="0"/>
                  <wp:docPr id="158841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10495" name=""/>
                          <pic:cNvPicPr/>
                        </pic:nvPicPr>
                        <pic:blipFill>
                          <a:blip r:embed="rId15"/>
                          <a:stretch>
                            <a:fillRect/>
                          </a:stretch>
                        </pic:blipFill>
                        <pic:spPr>
                          <a:xfrm>
                            <a:off x="0" y="0"/>
                            <a:ext cx="3895160" cy="1572128"/>
                          </a:xfrm>
                          <a:prstGeom prst="rect">
                            <a:avLst/>
                          </a:prstGeom>
                        </pic:spPr>
                      </pic:pic>
                    </a:graphicData>
                  </a:graphic>
                </wp:inline>
              </w:drawing>
            </w:r>
          </w:p>
          <w:p w14:paraId="0E6BC82B" w14:textId="77777777" w:rsidR="00152485" w:rsidRDefault="00152485">
            <w:pPr>
              <w:jc w:val="center"/>
              <w:rPr>
                <w:b/>
                <w:bCs/>
                <w:color w:val="0A7B74"/>
              </w:rPr>
            </w:pPr>
          </w:p>
          <w:p w14:paraId="640A9DED" w14:textId="12A0606F" w:rsidR="00152485" w:rsidRDefault="00152485">
            <w:pPr>
              <w:jc w:val="center"/>
              <w:rPr>
                <w:b/>
                <w:bCs/>
                <w:color w:val="0A7B74"/>
              </w:rPr>
            </w:pPr>
            <w:r w:rsidRPr="00152485">
              <w:rPr>
                <w:b/>
                <w:bCs/>
                <w:noProof/>
                <w:color w:val="0A7B74"/>
              </w:rPr>
              <w:drawing>
                <wp:inline distT="0" distB="0" distL="0" distR="0" wp14:anchorId="2DA031E8" wp14:editId="15EA43E7">
                  <wp:extent cx="4132580" cy="1602350"/>
                  <wp:effectExtent l="0" t="0" r="1270" b="0"/>
                  <wp:docPr id="146517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3476" name=""/>
                          <pic:cNvPicPr/>
                        </pic:nvPicPr>
                        <pic:blipFill>
                          <a:blip r:embed="rId16"/>
                          <a:stretch>
                            <a:fillRect/>
                          </a:stretch>
                        </pic:blipFill>
                        <pic:spPr>
                          <a:xfrm>
                            <a:off x="0" y="0"/>
                            <a:ext cx="4161798" cy="1613679"/>
                          </a:xfrm>
                          <a:prstGeom prst="rect">
                            <a:avLst/>
                          </a:prstGeom>
                        </pic:spPr>
                      </pic:pic>
                    </a:graphicData>
                  </a:graphic>
                </wp:inline>
              </w:drawing>
            </w:r>
          </w:p>
          <w:p w14:paraId="34129D7A" w14:textId="50FEC309" w:rsidR="00E46E76" w:rsidRDefault="00000000">
            <w:pPr>
              <w:jc w:val="center"/>
            </w:pPr>
            <w:r>
              <w:rPr>
                <w:b/>
                <w:bCs/>
                <w:color w:val="0A7B74"/>
              </w:rPr>
              <w:t>📷  Figure 5 — Sensitivity analysis: NSE variation plots for the three most sensitive parameters (hl, K0, Kperc) showing NSE vs. parameter value across the full parameter range</w:t>
            </w:r>
          </w:p>
          <w:p w14:paraId="493028FC" w14:textId="77777777" w:rsidR="00E46E76" w:rsidRDefault="00000000">
            <w:pPr>
              <w:spacing w:before="60"/>
              <w:jc w:val="center"/>
            </w:pPr>
            <w:r>
              <w:rPr>
                <w:i/>
                <w:iCs/>
                <w:color w:val="666666"/>
                <w:sz w:val="18"/>
                <w:szCs w:val="18"/>
              </w:rPr>
              <w:t>Source: Hahle.pdf — Pages 27–33 (Figures 4-7, 4-10, 4-19: NSE plots for hl, K0, and perc)</w:t>
            </w:r>
          </w:p>
        </w:tc>
      </w:tr>
    </w:tbl>
    <w:p w14:paraId="5F20B63C" w14:textId="77777777" w:rsidR="00E46E76" w:rsidRDefault="00E46E76">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6E76" w14:paraId="09EE71AE"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3E9D8E03" w14:textId="4731CD9C" w:rsidR="006D47B0" w:rsidRDefault="00152485">
            <w:pPr>
              <w:jc w:val="center"/>
              <w:rPr>
                <w:b/>
                <w:bCs/>
                <w:color w:val="0A7B74"/>
              </w:rPr>
            </w:pPr>
            <w:r w:rsidRPr="00152485">
              <w:rPr>
                <w:b/>
                <w:bCs/>
                <w:noProof/>
                <w:color w:val="0A7B74"/>
              </w:rPr>
              <w:drawing>
                <wp:inline distT="0" distB="0" distL="0" distR="0" wp14:anchorId="5CA9C365" wp14:editId="07299F49">
                  <wp:extent cx="4743450" cy="1801310"/>
                  <wp:effectExtent l="0" t="0" r="0" b="8890"/>
                  <wp:docPr id="16429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4145" name=""/>
                          <pic:cNvPicPr/>
                        </pic:nvPicPr>
                        <pic:blipFill>
                          <a:blip r:embed="rId17"/>
                          <a:stretch>
                            <a:fillRect/>
                          </a:stretch>
                        </pic:blipFill>
                        <pic:spPr>
                          <a:xfrm>
                            <a:off x="0" y="0"/>
                            <a:ext cx="4755635" cy="1805937"/>
                          </a:xfrm>
                          <a:prstGeom prst="rect">
                            <a:avLst/>
                          </a:prstGeom>
                        </pic:spPr>
                      </pic:pic>
                    </a:graphicData>
                  </a:graphic>
                </wp:inline>
              </w:drawing>
            </w:r>
          </w:p>
          <w:p w14:paraId="72CC569F" w14:textId="77777777" w:rsidR="00152485" w:rsidRDefault="00152485">
            <w:pPr>
              <w:jc w:val="center"/>
              <w:rPr>
                <w:b/>
                <w:bCs/>
                <w:color w:val="0A7B74"/>
              </w:rPr>
            </w:pPr>
          </w:p>
          <w:p w14:paraId="14EC3869" w14:textId="03D4FF5C" w:rsidR="00152485" w:rsidRDefault="00152485">
            <w:pPr>
              <w:jc w:val="center"/>
              <w:rPr>
                <w:b/>
                <w:bCs/>
                <w:color w:val="0A7B74"/>
              </w:rPr>
            </w:pPr>
            <w:r w:rsidRPr="00152485">
              <w:rPr>
                <w:b/>
                <w:bCs/>
                <w:noProof/>
                <w:color w:val="0A7B74"/>
              </w:rPr>
              <w:lastRenderedPageBreak/>
              <w:drawing>
                <wp:inline distT="0" distB="0" distL="0" distR="0" wp14:anchorId="1D551363" wp14:editId="7DC8FB47">
                  <wp:extent cx="3886200" cy="1559641"/>
                  <wp:effectExtent l="0" t="0" r="0" b="2540"/>
                  <wp:docPr id="163561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13594" name=""/>
                          <pic:cNvPicPr/>
                        </pic:nvPicPr>
                        <pic:blipFill>
                          <a:blip r:embed="rId18"/>
                          <a:stretch>
                            <a:fillRect/>
                          </a:stretch>
                        </pic:blipFill>
                        <pic:spPr>
                          <a:xfrm>
                            <a:off x="0" y="0"/>
                            <a:ext cx="3894563" cy="1562997"/>
                          </a:xfrm>
                          <a:prstGeom prst="rect">
                            <a:avLst/>
                          </a:prstGeom>
                        </pic:spPr>
                      </pic:pic>
                    </a:graphicData>
                  </a:graphic>
                </wp:inline>
              </w:drawing>
            </w:r>
          </w:p>
          <w:p w14:paraId="5C0F09DD" w14:textId="77777777" w:rsidR="00152485" w:rsidRDefault="00152485">
            <w:pPr>
              <w:jc w:val="center"/>
              <w:rPr>
                <w:b/>
                <w:bCs/>
                <w:color w:val="0A7B74"/>
              </w:rPr>
            </w:pPr>
          </w:p>
          <w:p w14:paraId="6A99B1A9" w14:textId="5634B6BD" w:rsidR="00152485" w:rsidRDefault="00152485">
            <w:pPr>
              <w:jc w:val="center"/>
              <w:rPr>
                <w:b/>
                <w:bCs/>
                <w:color w:val="0A7B74"/>
              </w:rPr>
            </w:pPr>
            <w:r w:rsidRPr="00152485">
              <w:rPr>
                <w:b/>
                <w:bCs/>
                <w:noProof/>
                <w:color w:val="0A7B74"/>
              </w:rPr>
              <w:drawing>
                <wp:inline distT="0" distB="0" distL="0" distR="0" wp14:anchorId="3F53487B" wp14:editId="6F429C1B">
                  <wp:extent cx="4121150" cy="1650512"/>
                  <wp:effectExtent l="0" t="0" r="0" b="6985"/>
                  <wp:docPr id="152061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12858" name=""/>
                          <pic:cNvPicPr/>
                        </pic:nvPicPr>
                        <pic:blipFill>
                          <a:blip r:embed="rId19"/>
                          <a:stretch>
                            <a:fillRect/>
                          </a:stretch>
                        </pic:blipFill>
                        <pic:spPr>
                          <a:xfrm>
                            <a:off x="0" y="0"/>
                            <a:ext cx="4133818" cy="1655585"/>
                          </a:xfrm>
                          <a:prstGeom prst="rect">
                            <a:avLst/>
                          </a:prstGeom>
                        </pic:spPr>
                      </pic:pic>
                    </a:graphicData>
                  </a:graphic>
                </wp:inline>
              </w:drawing>
            </w:r>
          </w:p>
          <w:p w14:paraId="61B91CB4" w14:textId="77777777" w:rsidR="00152485" w:rsidRDefault="00152485">
            <w:pPr>
              <w:jc w:val="center"/>
              <w:rPr>
                <w:b/>
                <w:bCs/>
                <w:color w:val="0A7B74"/>
              </w:rPr>
            </w:pPr>
          </w:p>
          <w:p w14:paraId="2CE1C994" w14:textId="51E98253" w:rsidR="00152485" w:rsidRDefault="00152485">
            <w:pPr>
              <w:jc w:val="center"/>
              <w:rPr>
                <w:b/>
                <w:bCs/>
                <w:color w:val="0A7B74"/>
              </w:rPr>
            </w:pPr>
            <w:r w:rsidRPr="00152485">
              <w:rPr>
                <w:b/>
                <w:bCs/>
                <w:noProof/>
                <w:color w:val="0A7B74"/>
              </w:rPr>
              <w:drawing>
                <wp:inline distT="0" distB="0" distL="0" distR="0" wp14:anchorId="06398FFC" wp14:editId="2FDC22A1">
                  <wp:extent cx="4140200" cy="1598861"/>
                  <wp:effectExtent l="0" t="0" r="0" b="1905"/>
                  <wp:docPr id="186457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1272" name=""/>
                          <pic:cNvPicPr/>
                        </pic:nvPicPr>
                        <pic:blipFill>
                          <a:blip r:embed="rId20"/>
                          <a:stretch>
                            <a:fillRect/>
                          </a:stretch>
                        </pic:blipFill>
                        <pic:spPr>
                          <a:xfrm>
                            <a:off x="0" y="0"/>
                            <a:ext cx="4154530" cy="1604395"/>
                          </a:xfrm>
                          <a:prstGeom prst="rect">
                            <a:avLst/>
                          </a:prstGeom>
                        </pic:spPr>
                      </pic:pic>
                    </a:graphicData>
                  </a:graphic>
                </wp:inline>
              </w:drawing>
            </w:r>
          </w:p>
          <w:p w14:paraId="04FC0586" w14:textId="39925A43" w:rsidR="00E46E76" w:rsidRDefault="00000000">
            <w:pPr>
              <w:jc w:val="center"/>
            </w:pPr>
            <w:r>
              <w:rPr>
                <w:b/>
                <w:bCs/>
                <w:color w:val="0A7B74"/>
              </w:rPr>
              <w:t>📷  Figure 6 — Seasonal hydrograph comparison for sensitivity analysis: Winter and summer hydrographs for parameter hl (left pair) and K0 (right pair) showing peak magnitude and timing changes</w:t>
            </w:r>
          </w:p>
          <w:p w14:paraId="536CA478" w14:textId="77777777" w:rsidR="00E46E76" w:rsidRDefault="00000000">
            <w:pPr>
              <w:spacing w:before="60"/>
              <w:jc w:val="center"/>
            </w:pPr>
            <w:r>
              <w:rPr>
                <w:i/>
                <w:iCs/>
                <w:color w:val="666666"/>
                <w:sz w:val="18"/>
                <w:szCs w:val="18"/>
              </w:rPr>
              <w:t>Source: Hahle.pdf — Pages 27–29 (Figures 4-8, 4-9, 4-11, 4-12: winter and summer hydrographs for hl and K0)</w:t>
            </w:r>
          </w:p>
        </w:tc>
      </w:tr>
    </w:tbl>
    <w:p w14:paraId="1B8BCAC6" w14:textId="77777777" w:rsidR="00E46E76" w:rsidRDefault="00E46E76">
      <w:pPr>
        <w:spacing w:after="160"/>
      </w:pPr>
    </w:p>
    <w:p w14:paraId="5CEEC7FF" w14:textId="77777777" w:rsidR="00E46E76" w:rsidRDefault="00000000">
      <w:pPr>
        <w:spacing w:before="160" w:after="80"/>
      </w:pPr>
      <w:r>
        <w:rPr>
          <w:b/>
          <w:bCs/>
          <w:color w:val="0A1628"/>
          <w:sz w:val="23"/>
          <w:szCs w:val="23"/>
        </w:rPr>
        <w:t>4.2  Calibration and Validation</w:t>
      </w:r>
    </w:p>
    <w:p w14:paraId="4F7B7912" w14:textId="77777777" w:rsidR="00E46E76" w:rsidRDefault="00000000">
      <w:pPr>
        <w:spacing w:before="80" w:after="80" w:line="300" w:lineRule="auto"/>
        <w:jc w:val="both"/>
      </w:pPr>
      <w:r>
        <w:rPr>
          <w:color w:val="2C2C2C"/>
        </w:rPr>
        <w:t>Manual calibration was performed for the period January 1980 – December 1990, selected because it contains the highest observed runoff events in the record — making it the most demanding and informative calibration interval. A one-year warm-up period (1979) was applied before the calibration window. The initial default parameter set yielded NSE = 0.55. Seven manual iterations were performed, adjusting parameters guided by the sensitivity analysis results. The final optimal parameter set retained NSE = 0.55 — no improvement beyond the initial value was achieved through the manual iterations attempted.</w:t>
      </w:r>
    </w:p>
    <w:p w14:paraId="4EE095E8" w14:textId="77777777" w:rsidR="00E46E76" w:rsidRDefault="00E46E76">
      <w:pPr>
        <w:spacing w:after="60"/>
      </w:pPr>
    </w:p>
    <w:p w14:paraId="18E3D47A" w14:textId="77777777" w:rsidR="00E46E76" w:rsidRDefault="00000000">
      <w:pPr>
        <w:spacing w:before="80" w:after="80" w:line="300" w:lineRule="auto"/>
        <w:jc w:val="both"/>
      </w:pPr>
      <w:r>
        <w:rPr>
          <w:color w:val="2C2C2C"/>
        </w:rPr>
        <w:t>The reference efficiency classification for the Rollshausen station (catchment area 153.16 km²) defines NSE Class 1 ≥ 0.80, Class 2 ≥ 0.70, Class 3 ≥ 0.60, and Class 4 ≥ 0.50. The achieved NSE of 0.55 places the model in Class 4 — marginally acceptable performance. The BIAS metric was used as a secondary validation indicator, with values near 0 indicating minimal volume error.</w:t>
      </w:r>
    </w:p>
    <w:p w14:paraId="775B1513" w14:textId="77777777" w:rsidR="00E46E76" w:rsidRDefault="00E46E76">
      <w:pPr>
        <w:spacing w:after="60"/>
      </w:pPr>
    </w:p>
    <w:p w14:paraId="7C44620D" w14:textId="77777777" w:rsidR="00E46E76" w:rsidRDefault="00000000">
      <w:pPr>
        <w:spacing w:before="80" w:after="80" w:line="300" w:lineRule="auto"/>
        <w:jc w:val="both"/>
      </w:pPr>
      <w:r>
        <w:rPr>
          <w:color w:val="2C2C2C"/>
        </w:rPr>
        <w:lastRenderedPageBreak/>
        <w:t>The validation phase revealed limitations in the model's ability to reproduce peak flows for periods outside the calibration window, particularly for very high runoff events. The assumption of identical parameter values across both sub-catchments may have constrained achievable performance; future work should explore spatially varying parameter sets. The NSE result also reflects the inherent difficulty of manually calibrating a 12-parameter model without automated optimisation.</w:t>
      </w:r>
    </w:p>
    <w:p w14:paraId="66727924" w14:textId="77777777" w:rsidR="00E46E76" w:rsidRDefault="00E46E76">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6E76" w14:paraId="1F6DD897"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67703BE8" w14:textId="380354ED" w:rsidR="00152485" w:rsidRDefault="00152485">
            <w:pPr>
              <w:jc w:val="center"/>
              <w:rPr>
                <w:b/>
                <w:bCs/>
                <w:color w:val="0A7B74"/>
              </w:rPr>
            </w:pPr>
          </w:p>
          <w:p w14:paraId="0217BCEC" w14:textId="16BE7A9B" w:rsidR="00152485" w:rsidRDefault="009529F9">
            <w:pPr>
              <w:jc w:val="center"/>
              <w:rPr>
                <w:b/>
                <w:bCs/>
                <w:color w:val="0A7B74"/>
              </w:rPr>
            </w:pPr>
            <w:r>
              <w:rPr>
                <w:b/>
                <w:bCs/>
                <w:noProof/>
                <w:color w:val="0A7B74"/>
              </w:rPr>
              <w:drawing>
                <wp:inline distT="0" distB="0" distL="0" distR="0" wp14:anchorId="08AF5EF7" wp14:editId="5E6D00A4">
                  <wp:extent cx="4559935" cy="1725295"/>
                  <wp:effectExtent l="0" t="0" r="0" b="8255"/>
                  <wp:docPr id="19043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59935" cy="1725295"/>
                          </a:xfrm>
                          <a:prstGeom prst="rect">
                            <a:avLst/>
                          </a:prstGeom>
                          <a:noFill/>
                        </pic:spPr>
                      </pic:pic>
                    </a:graphicData>
                  </a:graphic>
                </wp:inline>
              </w:drawing>
            </w:r>
          </w:p>
          <w:p w14:paraId="0D48E93E" w14:textId="1D886866" w:rsidR="00152485" w:rsidRDefault="00152485">
            <w:pPr>
              <w:jc w:val="center"/>
              <w:rPr>
                <w:b/>
                <w:bCs/>
                <w:color w:val="0A7B74"/>
              </w:rPr>
            </w:pPr>
          </w:p>
          <w:p w14:paraId="509E53FC" w14:textId="2B2938AE" w:rsidR="00E46E76" w:rsidRDefault="00000000">
            <w:pPr>
              <w:jc w:val="center"/>
            </w:pPr>
            <w:r>
              <w:rPr>
                <w:b/>
                <w:bCs/>
                <w:color w:val="0A7B74"/>
              </w:rPr>
              <w:t>📷  Figure 7 — Calibration hydrograph: Observed vs. simulated daily discharge at Rollshausen (Node 2) for the calibration period 1980–1990, showing NSE = 0.55</w:t>
            </w:r>
          </w:p>
          <w:p w14:paraId="6508D8B1" w14:textId="77777777" w:rsidR="00E46E76" w:rsidRDefault="00000000">
            <w:pPr>
              <w:spacing w:before="60"/>
              <w:jc w:val="center"/>
            </w:pPr>
            <w:r>
              <w:rPr>
                <w:i/>
                <w:iCs/>
                <w:color w:val="666666"/>
                <w:sz w:val="18"/>
                <w:szCs w:val="18"/>
              </w:rPr>
              <w:t>Source: Hahle.pdf — Section 4.5 (Calibration and Validation figures — extract the calibration period hydrograph comparison)</w:t>
            </w:r>
          </w:p>
        </w:tc>
      </w:tr>
    </w:tbl>
    <w:p w14:paraId="541AEDF9" w14:textId="77777777" w:rsidR="00E46E76" w:rsidRDefault="00E46E76">
      <w:pPr>
        <w:spacing w:after="280"/>
      </w:pPr>
    </w:p>
    <w:p w14:paraId="2828507C" w14:textId="77777777" w:rsidR="00E46E76" w:rsidRDefault="00000000">
      <w:pPr>
        <w:shd w:val="clear" w:color="auto" w:fill="0A7B74"/>
        <w:spacing w:before="320" w:after="160"/>
        <w:ind w:left="120" w:right="120"/>
      </w:pPr>
      <w:r>
        <w:rPr>
          <w:b/>
          <w:bCs/>
          <w:color w:val="FFFFFF"/>
          <w:sz w:val="24"/>
          <w:szCs w:val="24"/>
        </w:rPr>
        <w:t>5. CONCLUSION</w:t>
      </w:r>
    </w:p>
    <w:p w14:paraId="2DA47585" w14:textId="77777777" w:rsidR="00E46E76" w:rsidRDefault="00E46E76">
      <w:pPr>
        <w:spacing w:after="80"/>
      </w:pPr>
    </w:p>
    <w:p w14:paraId="193D4C4E" w14:textId="77777777" w:rsidR="00E46E76" w:rsidRDefault="00000000">
      <w:pPr>
        <w:spacing w:before="80" w:after="80" w:line="300" w:lineRule="auto"/>
        <w:jc w:val="both"/>
      </w:pPr>
      <w:r>
        <w:rPr>
          <w:color w:val="2C2C2C"/>
        </w:rPr>
        <w:t>This project successfully implemented the full hydrological modelling workflow for the Hahle catchment, from GIS-based delineation and characterisation through flood statistics to semi-distributed HBV-IWW model calibration. Five principal conclusions emerge.</w:t>
      </w:r>
    </w:p>
    <w:p w14:paraId="5FA50FC5" w14:textId="77777777" w:rsidR="00E46E76" w:rsidRDefault="00E46E76">
      <w:pPr>
        <w:spacing w:after="80"/>
      </w:pPr>
    </w:p>
    <w:p w14:paraId="5A5AE4B0" w14:textId="77777777" w:rsidR="00E46E76" w:rsidRDefault="00000000">
      <w:pPr>
        <w:pStyle w:val="ListParagraph"/>
        <w:numPr>
          <w:ilvl w:val="0"/>
          <w:numId w:val="2"/>
        </w:numPr>
        <w:spacing w:before="60" w:after="60"/>
      </w:pPr>
      <w:r>
        <w:rPr>
          <w:color w:val="2C2C2C"/>
        </w:rPr>
        <w:t>The Hahle catchment is predominantly agriculture-dominated (60–83%) with moderate slopes (~5%), resulting in a mixed runoff regime that is sensitive to soil moisture conditions and not significantly influenced by snowmelt.</w:t>
      </w:r>
    </w:p>
    <w:p w14:paraId="6C0411E5" w14:textId="77777777" w:rsidR="00E46E76" w:rsidRDefault="00000000">
      <w:pPr>
        <w:pStyle w:val="ListParagraph"/>
        <w:numPr>
          <w:ilvl w:val="0"/>
          <w:numId w:val="2"/>
        </w:numPr>
        <w:spacing w:before="60" w:after="60"/>
      </w:pPr>
      <w:r>
        <w:rPr>
          <w:color w:val="2C2C2C"/>
        </w:rPr>
        <w:t>Both GEV and Gumbel distributions passed the nω² goodness-of-fit test for both DME and MMA datasets. The MMA instantaneous peak dataset consistently produces higher design flood estimates — for a 50-year return period, GEV/MMA gives 47.7 m³/s versus GEV/DME at 31.6 m³/s — underlining the critical importance of data type selection in flood frequency analysis.</w:t>
      </w:r>
    </w:p>
    <w:p w14:paraId="732F75D9" w14:textId="77777777" w:rsidR="00E46E76" w:rsidRDefault="00000000">
      <w:pPr>
        <w:pStyle w:val="ListParagraph"/>
        <w:numPr>
          <w:ilvl w:val="0"/>
          <w:numId w:val="2"/>
        </w:numPr>
        <w:spacing w:before="60" w:after="60"/>
      </w:pPr>
      <w:r>
        <w:rPr>
          <w:color w:val="2C2C2C"/>
        </w:rPr>
        <w:t>Sensitivity analysis confirmed that response routine parameters (hl, K0, Kperc) dominate model behaviour year-round, while soil parameters (fc, lp) are particularly influential in summer. Snow routine parameters have minimal effect, confirming the catchment's rain-dominated hydrology.</w:t>
      </w:r>
    </w:p>
    <w:p w14:paraId="7EC9092E" w14:textId="77777777" w:rsidR="00E46E76" w:rsidRDefault="00000000">
      <w:pPr>
        <w:pStyle w:val="ListParagraph"/>
        <w:numPr>
          <w:ilvl w:val="0"/>
          <w:numId w:val="2"/>
        </w:numPr>
        <w:spacing w:before="60" w:after="60"/>
      </w:pPr>
      <w:r>
        <w:rPr>
          <w:color w:val="2C2C2C"/>
        </w:rPr>
        <w:t>Manual calibration achieved NSE = 0.55 (Class 4 — marginally acceptable), indicating that while the model captures the general runoff dynamics, further refinement through automated optimisation (e.g., MCMC or SCE-UA), spatially varying sub-catchment parameters, or a longer calibration period would be necessary to achieve Class 1–2 performance.</w:t>
      </w:r>
    </w:p>
    <w:p w14:paraId="01721397" w14:textId="77777777" w:rsidR="00E46E76" w:rsidRDefault="00000000">
      <w:pPr>
        <w:pStyle w:val="ListParagraph"/>
        <w:numPr>
          <w:ilvl w:val="0"/>
          <w:numId w:val="2"/>
        </w:numPr>
        <w:spacing w:before="60" w:after="60"/>
      </w:pPr>
      <w:r>
        <w:rPr>
          <w:color w:val="2C2C2C"/>
        </w:rPr>
        <w:t xml:space="preserve">The project demonstrated comprehensive applied competency in GIS-based catchment analysis (ArcGIS Pro), statistical flood frequency methods (L-moments, GEV, Gumbel), and </w:t>
      </w:r>
      <w:r>
        <w:rPr>
          <w:color w:val="2C2C2C"/>
        </w:rPr>
        <w:lastRenderedPageBreak/>
        <w:t>conceptual hydrological modelling (HBV-IWW), providing a robust foundation for flood risk management applications in similar mid-sized German catchments.</w:t>
      </w:r>
    </w:p>
    <w:p w14:paraId="10662E4C" w14:textId="77777777" w:rsidR="00E46E76" w:rsidRDefault="00E46E76">
      <w:pPr>
        <w:spacing w:after="200"/>
      </w:pPr>
    </w:p>
    <w:p w14:paraId="3B0AD40E" w14:textId="77777777" w:rsidR="00E46E76" w:rsidRDefault="00000000">
      <w:pPr>
        <w:shd w:val="clear" w:color="auto" w:fill="0A7B74"/>
        <w:spacing w:before="320" w:after="160"/>
        <w:ind w:left="120" w:right="120"/>
      </w:pPr>
      <w:r>
        <w:rPr>
          <w:b/>
          <w:bCs/>
          <w:color w:val="FFFFFF"/>
          <w:sz w:val="24"/>
          <w:szCs w:val="24"/>
        </w:rPr>
        <w:t>IMAGE EXTRACTION GUIDE FOR PORTFOLIO PAGE</w:t>
      </w:r>
    </w:p>
    <w:p w14:paraId="2975F624" w14:textId="77777777" w:rsidR="00E46E76" w:rsidRDefault="00E46E76">
      <w:pPr>
        <w:spacing w:after="80"/>
      </w:pPr>
    </w:p>
    <w:p w14:paraId="2D70852B" w14:textId="77777777" w:rsidR="00E46E76" w:rsidRDefault="00000000">
      <w:pPr>
        <w:spacing w:before="80" w:after="80" w:line="300" w:lineRule="auto"/>
        <w:jc w:val="both"/>
      </w:pPr>
      <w:r>
        <w:rPr>
          <w:color w:val="2C2C2C"/>
        </w:rPr>
        <w:t>All recommended images with exact source locations for the Hahle Catchment portfolio HTML page:</w:t>
      </w:r>
    </w:p>
    <w:p w14:paraId="50B17E0A" w14:textId="77777777" w:rsidR="00E46E76" w:rsidRDefault="00E46E7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3566"/>
        <w:gridCol w:w="3277"/>
        <w:gridCol w:w="2313"/>
      </w:tblGrid>
      <w:tr w:rsidR="00E46E76" w14:paraId="7CBC1A0B" w14:textId="77777777">
        <w:tc>
          <w:tcPr>
            <w:tcW w:w="482"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443D210C" w14:textId="77777777" w:rsidR="00E46E76" w:rsidRDefault="00000000">
            <w:r>
              <w:rPr>
                <w:b/>
                <w:bCs/>
                <w:color w:val="FFFFFF"/>
                <w:sz w:val="18"/>
                <w:szCs w:val="18"/>
              </w:rPr>
              <w:t>#</w:t>
            </w:r>
          </w:p>
        </w:tc>
        <w:tc>
          <w:tcPr>
            <w:tcW w:w="3566"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82993E9" w14:textId="77777777" w:rsidR="00E46E76" w:rsidRDefault="00000000">
            <w:r>
              <w:rPr>
                <w:b/>
                <w:bCs/>
                <w:color w:val="FFFFFF"/>
                <w:sz w:val="18"/>
                <w:szCs w:val="18"/>
              </w:rPr>
              <w:t>Description</w:t>
            </w:r>
          </w:p>
        </w:tc>
        <w:tc>
          <w:tcPr>
            <w:tcW w:w="3277"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E1C4794" w14:textId="77777777" w:rsidR="00E46E76" w:rsidRDefault="00000000">
            <w:r>
              <w:rPr>
                <w:b/>
                <w:bCs/>
                <w:color w:val="FFFFFF"/>
                <w:sz w:val="18"/>
                <w:szCs w:val="18"/>
              </w:rPr>
              <w:t>Source File</w:t>
            </w:r>
          </w:p>
        </w:tc>
        <w:tc>
          <w:tcPr>
            <w:tcW w:w="231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4DF2F55F" w14:textId="77777777" w:rsidR="00E46E76" w:rsidRDefault="00000000">
            <w:r>
              <w:rPr>
                <w:b/>
                <w:bCs/>
                <w:color w:val="FFFFFF"/>
                <w:sz w:val="18"/>
                <w:szCs w:val="18"/>
              </w:rPr>
              <w:t>Page / Figure</w:t>
            </w:r>
          </w:p>
        </w:tc>
      </w:tr>
      <w:tr w:rsidR="00E46E76" w14:paraId="66C9B45C" w14:textId="77777777">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74024B6" w14:textId="77777777" w:rsidR="00E46E76" w:rsidRDefault="00000000">
            <w:r>
              <w:rPr>
                <w:color w:val="2C2C2C"/>
                <w:sz w:val="18"/>
                <w:szCs w:val="18"/>
              </w:rPr>
              <w:t>1</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CD38C0" w14:textId="77777777" w:rsidR="00E46E76" w:rsidRDefault="00000000">
            <w:r>
              <w:rPr>
                <w:color w:val="2C2C2C"/>
                <w:sz w:val="18"/>
                <w:szCs w:val="18"/>
              </w:rPr>
              <w:t>Location map of the Hahle Catchment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070767"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6B3B23D" w14:textId="77777777" w:rsidR="00E46E76" w:rsidRDefault="00000000">
            <w:r>
              <w:rPr>
                <w:color w:val="2C2C2C"/>
                <w:sz w:val="18"/>
                <w:szCs w:val="18"/>
              </w:rPr>
              <w:t>p. 2 (Fig 2-1)</w:t>
            </w:r>
          </w:p>
        </w:tc>
      </w:tr>
      <w:tr w:rsidR="00E46E76" w14:paraId="77559C90" w14:textId="77777777">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3192455" w14:textId="77777777" w:rsidR="00E46E76" w:rsidRDefault="00000000">
            <w:r>
              <w:rPr>
                <w:color w:val="2C2C2C"/>
                <w:sz w:val="18"/>
                <w:szCs w:val="18"/>
              </w:rPr>
              <w:t>2</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693B4D5" w14:textId="77777777" w:rsidR="00E46E76" w:rsidRDefault="00000000">
            <w:r>
              <w:rPr>
                <w:color w:val="2C2C2C"/>
                <w:sz w:val="18"/>
                <w:szCs w:val="18"/>
              </w:rPr>
              <w:t>Base map — river network and sub-basins</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B8D350E"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3394694" w14:textId="77777777" w:rsidR="00E46E76" w:rsidRDefault="00000000">
            <w:r>
              <w:rPr>
                <w:color w:val="2C2C2C"/>
                <w:sz w:val="18"/>
                <w:szCs w:val="18"/>
              </w:rPr>
              <w:t>Section 2.2.1 (Fig 2-5)</w:t>
            </w:r>
          </w:p>
        </w:tc>
      </w:tr>
      <w:tr w:rsidR="00E46E76" w14:paraId="7DD6B86B" w14:textId="77777777">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A6449CF" w14:textId="77777777" w:rsidR="00E46E76" w:rsidRDefault="00000000">
            <w:r>
              <w:rPr>
                <w:color w:val="2C2C2C"/>
                <w:sz w:val="18"/>
                <w:szCs w:val="18"/>
              </w:rPr>
              <w:t>3</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47049A9" w14:textId="77777777" w:rsidR="00E46E76" w:rsidRDefault="00000000">
            <w:r>
              <w:rPr>
                <w:color w:val="2C2C2C"/>
                <w:sz w:val="18"/>
                <w:szCs w:val="18"/>
              </w:rPr>
              <w:t>Topography map (DGM)</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C6D2D4"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92E136" w14:textId="77777777" w:rsidR="00E46E76" w:rsidRDefault="00000000">
            <w:r>
              <w:rPr>
                <w:color w:val="2C2C2C"/>
                <w:sz w:val="18"/>
                <w:szCs w:val="18"/>
              </w:rPr>
              <w:t>Section 2.2.2 (Fig 2-6)</w:t>
            </w:r>
          </w:p>
        </w:tc>
      </w:tr>
      <w:tr w:rsidR="00E46E76" w14:paraId="6E2C7614" w14:textId="77777777">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16DDEFA" w14:textId="77777777" w:rsidR="00E46E76" w:rsidRDefault="00000000">
            <w:r>
              <w:rPr>
                <w:color w:val="2C2C2C"/>
                <w:sz w:val="18"/>
                <w:szCs w:val="18"/>
              </w:rPr>
              <w:t>4</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F0FEB45" w14:textId="77777777" w:rsidR="00E46E76" w:rsidRDefault="00000000">
            <w:r>
              <w:rPr>
                <w:color w:val="2C2C2C"/>
                <w:sz w:val="18"/>
                <w:szCs w:val="18"/>
              </w:rPr>
              <w:t>Land use map (CLC)</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0C196BA"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DC01D30" w14:textId="77777777" w:rsidR="00E46E76" w:rsidRDefault="00000000">
            <w:r>
              <w:rPr>
                <w:color w:val="2C2C2C"/>
                <w:sz w:val="18"/>
                <w:szCs w:val="18"/>
              </w:rPr>
              <w:t>Section 2.2.3 (Fig 2-7)</w:t>
            </w:r>
          </w:p>
        </w:tc>
      </w:tr>
      <w:tr w:rsidR="00E46E76" w14:paraId="2E2FA6E3" w14:textId="77777777">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ABAD916" w14:textId="77777777" w:rsidR="00E46E76" w:rsidRDefault="00000000">
            <w:r>
              <w:rPr>
                <w:color w:val="2C2C2C"/>
                <w:sz w:val="18"/>
                <w:szCs w:val="18"/>
              </w:rPr>
              <w:t>5</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D26EDF2" w14:textId="77777777" w:rsidR="00E46E76" w:rsidRDefault="00000000">
            <w:r>
              <w:rPr>
                <w:color w:val="2C2C2C"/>
                <w:sz w:val="18"/>
                <w:szCs w:val="18"/>
              </w:rPr>
              <w:t>Soil distribution — 4 sub-maps (HWSD)</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83254B"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73A99EB" w14:textId="77777777" w:rsidR="00E46E76" w:rsidRDefault="00000000">
            <w:r>
              <w:rPr>
                <w:color w:val="2C2C2C"/>
                <w:sz w:val="18"/>
                <w:szCs w:val="18"/>
              </w:rPr>
              <w:t>Section 2.2.4 (Fig 2-8)</w:t>
            </w:r>
          </w:p>
        </w:tc>
      </w:tr>
      <w:tr w:rsidR="00E46E76" w14:paraId="3461AAF0" w14:textId="77777777">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522161F" w14:textId="77777777" w:rsidR="00E46E76" w:rsidRDefault="00000000">
            <w:r>
              <w:rPr>
                <w:color w:val="2C2C2C"/>
                <w:sz w:val="18"/>
                <w:szCs w:val="18"/>
              </w:rPr>
              <w:t>6</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7B7A44A" w14:textId="77777777" w:rsidR="00E46E76" w:rsidRDefault="00000000">
            <w:r>
              <w:rPr>
                <w:color w:val="2C2C2C"/>
                <w:sz w:val="18"/>
                <w:szCs w:val="18"/>
              </w:rPr>
              <w:t>Slope classification map</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B267CA2"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E880CD9" w14:textId="77777777" w:rsidR="00E46E76" w:rsidRDefault="00000000">
            <w:r>
              <w:rPr>
                <w:color w:val="2C2C2C"/>
                <w:sz w:val="18"/>
                <w:szCs w:val="18"/>
              </w:rPr>
              <w:t>p. 5 (Fig 2-3)</w:t>
            </w:r>
          </w:p>
        </w:tc>
      </w:tr>
      <w:tr w:rsidR="00E46E76" w14:paraId="49F133F6" w14:textId="77777777">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E78551" w14:textId="77777777" w:rsidR="00E46E76" w:rsidRDefault="00000000">
            <w:r>
              <w:rPr>
                <w:color w:val="2C2C2C"/>
                <w:sz w:val="18"/>
                <w:szCs w:val="18"/>
              </w:rPr>
              <w:t>7</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F23CE2" w14:textId="77777777" w:rsidR="00E46E76" w:rsidRDefault="00000000">
            <w:r>
              <w:rPr>
                <w:color w:val="2C2C2C"/>
                <w:sz w:val="18"/>
                <w:szCs w:val="18"/>
              </w:rPr>
              <w:t>Data consistency review chart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D167660"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1C83DA2" w14:textId="77777777" w:rsidR="00E46E76" w:rsidRDefault="00000000">
            <w:r>
              <w:rPr>
                <w:color w:val="2C2C2C"/>
                <w:sz w:val="18"/>
                <w:szCs w:val="18"/>
              </w:rPr>
              <w:t>p. 4 (Fig 3-1)</w:t>
            </w:r>
          </w:p>
        </w:tc>
      </w:tr>
      <w:tr w:rsidR="00E46E76" w14:paraId="07515F01" w14:textId="77777777">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563427A" w14:textId="77777777" w:rsidR="00E46E76" w:rsidRDefault="00000000">
            <w:r>
              <w:rPr>
                <w:color w:val="2C2C2C"/>
                <w:sz w:val="18"/>
                <w:szCs w:val="18"/>
              </w:rPr>
              <w:t>8</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BFA218F" w14:textId="77777777" w:rsidR="00E46E76" w:rsidRDefault="00000000">
            <w:r>
              <w:rPr>
                <w:color w:val="2C2C2C"/>
                <w:sz w:val="18"/>
                <w:szCs w:val="18"/>
              </w:rPr>
              <w:t>Double Sum Analysis (DSA) chart</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5E61942"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763B632" w14:textId="77777777" w:rsidR="00E46E76" w:rsidRDefault="00000000">
            <w:r>
              <w:rPr>
                <w:color w:val="2C2C2C"/>
                <w:sz w:val="18"/>
                <w:szCs w:val="18"/>
              </w:rPr>
              <w:t>p. 6 (Fig 3-4)</w:t>
            </w:r>
          </w:p>
        </w:tc>
      </w:tr>
      <w:tr w:rsidR="00E46E76" w14:paraId="197AB3A8" w14:textId="77777777">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7B65DBD" w14:textId="77777777" w:rsidR="00E46E76" w:rsidRDefault="00000000">
            <w:r>
              <w:rPr>
                <w:color w:val="2C2C2C"/>
                <w:sz w:val="18"/>
                <w:szCs w:val="18"/>
              </w:rPr>
              <w:t>9</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36F43B" w14:textId="77777777" w:rsidR="00E46E76" w:rsidRDefault="00000000">
            <w:r>
              <w:rPr>
                <w:color w:val="2C2C2C"/>
                <w:sz w:val="18"/>
                <w:szCs w:val="18"/>
              </w:rPr>
              <w:t>Annual peak flows bar chart (DME + MMA)</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44235E"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0DC63C" w14:textId="77777777" w:rsidR="00E46E76" w:rsidRDefault="00000000">
            <w:r>
              <w:rPr>
                <w:color w:val="2C2C2C"/>
                <w:sz w:val="18"/>
                <w:szCs w:val="18"/>
              </w:rPr>
              <w:t>p. 8 (Fig 3-5)</w:t>
            </w:r>
          </w:p>
        </w:tc>
      </w:tr>
      <w:tr w:rsidR="00E46E76" w14:paraId="7513E75C" w14:textId="77777777">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34AEEEE" w14:textId="77777777" w:rsidR="00E46E76" w:rsidRDefault="00000000">
            <w:r>
              <w:rPr>
                <w:color w:val="2C2C2C"/>
                <w:sz w:val="18"/>
                <w:szCs w:val="18"/>
              </w:rPr>
              <w:t>10</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CBCCB18" w14:textId="77777777" w:rsidR="00E46E76" w:rsidRDefault="00000000">
            <w:r>
              <w:rPr>
                <w:color w:val="2C2C2C"/>
                <w:sz w:val="18"/>
                <w:szCs w:val="18"/>
              </w:rPr>
              <w:t>Flood frequency curves (P_ne vs HQ)</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1C83F1F"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A2A5536" w14:textId="77777777" w:rsidR="00E46E76" w:rsidRDefault="00000000">
            <w:r>
              <w:rPr>
                <w:color w:val="2C2C2C"/>
                <w:sz w:val="18"/>
                <w:szCs w:val="18"/>
              </w:rPr>
              <w:t>p. 17 (Fig 3-6)</w:t>
            </w:r>
          </w:p>
        </w:tc>
      </w:tr>
      <w:tr w:rsidR="00E46E76" w14:paraId="7A88F26B" w14:textId="77777777">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9FA019" w14:textId="77777777" w:rsidR="00E46E76" w:rsidRDefault="00000000">
            <w:r>
              <w:rPr>
                <w:color w:val="2C2C2C"/>
                <w:sz w:val="18"/>
                <w:szCs w:val="18"/>
              </w:rPr>
              <w:t>11</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CD934E" w14:textId="77777777" w:rsidR="00E46E76" w:rsidRDefault="00000000">
            <w:r>
              <w:rPr>
                <w:color w:val="2C2C2C"/>
                <w:sz w:val="18"/>
                <w:szCs w:val="18"/>
              </w:rPr>
              <w:t>Return period vs HQ comparison chart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990854"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7E1550F" w14:textId="77777777" w:rsidR="00E46E76" w:rsidRDefault="00000000">
            <w:r>
              <w:rPr>
                <w:color w:val="2C2C2C"/>
                <w:sz w:val="18"/>
                <w:szCs w:val="18"/>
              </w:rPr>
              <w:t>p. 18 (Fig 3-7)</w:t>
            </w:r>
          </w:p>
        </w:tc>
      </w:tr>
      <w:tr w:rsidR="00E46E76" w14:paraId="0DE74C6F" w14:textId="77777777">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2C8E822" w14:textId="77777777" w:rsidR="00E46E76" w:rsidRDefault="00000000">
            <w:r>
              <w:rPr>
                <w:color w:val="2C2C2C"/>
                <w:sz w:val="18"/>
                <w:szCs w:val="18"/>
              </w:rPr>
              <w:t>12</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07E4488" w14:textId="77777777" w:rsidR="00E46E76" w:rsidRDefault="00000000">
            <w:r>
              <w:rPr>
                <w:color w:val="2C2C2C"/>
                <w:sz w:val="18"/>
                <w:szCs w:val="18"/>
              </w:rPr>
              <w:t>HBV model schematic diagram</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717E9B4"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B6D5F21" w14:textId="77777777" w:rsidR="00E46E76" w:rsidRDefault="00000000">
            <w:r>
              <w:rPr>
                <w:color w:val="2C2C2C"/>
                <w:sz w:val="18"/>
                <w:szCs w:val="18"/>
              </w:rPr>
              <w:t>p. 20 (Fig 4-1)</w:t>
            </w:r>
          </w:p>
        </w:tc>
      </w:tr>
      <w:tr w:rsidR="00E46E76" w14:paraId="63F9AC27" w14:textId="77777777">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6BF0D3" w14:textId="77777777" w:rsidR="00E46E76" w:rsidRDefault="00000000">
            <w:r>
              <w:rPr>
                <w:color w:val="2C2C2C"/>
                <w:sz w:val="18"/>
                <w:szCs w:val="18"/>
              </w:rPr>
              <w:t>13</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02B8D4" w14:textId="77777777" w:rsidR="00E46E76" w:rsidRDefault="00000000">
            <w:r>
              <w:rPr>
                <w:color w:val="2C2C2C"/>
                <w:sz w:val="18"/>
                <w:szCs w:val="18"/>
              </w:rPr>
              <w:t>HBV-IWW vertical structure + parameter list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795F54"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4AE9D6" w14:textId="77777777" w:rsidR="00E46E76" w:rsidRDefault="00000000">
            <w:r>
              <w:rPr>
                <w:color w:val="2C2C2C"/>
                <w:sz w:val="18"/>
                <w:szCs w:val="18"/>
              </w:rPr>
              <w:t>p. 21 (Figs 4-2 &amp; 4-3)</w:t>
            </w:r>
          </w:p>
        </w:tc>
      </w:tr>
      <w:tr w:rsidR="00E46E76" w14:paraId="4D20D268" w14:textId="77777777">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C4E4635" w14:textId="77777777" w:rsidR="00E46E76" w:rsidRDefault="00000000">
            <w:r>
              <w:rPr>
                <w:color w:val="2C2C2C"/>
                <w:sz w:val="18"/>
                <w:szCs w:val="18"/>
              </w:rPr>
              <w:t>14</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1E84AA0" w14:textId="77777777" w:rsidR="00E46E76" w:rsidRDefault="00000000">
            <w:r>
              <w:rPr>
                <w:color w:val="2C2C2C"/>
                <w:sz w:val="18"/>
                <w:szCs w:val="18"/>
              </w:rPr>
              <w:t>NSE sensitivity plots (hl, K0, perc)</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783C135"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497C302" w14:textId="77777777" w:rsidR="00E46E76" w:rsidRDefault="00000000">
            <w:r>
              <w:rPr>
                <w:color w:val="2C2C2C"/>
                <w:sz w:val="18"/>
                <w:szCs w:val="18"/>
              </w:rPr>
              <w:t>pp. 27, 28, 33 (Figs 4-7, 4-10, 4-19)</w:t>
            </w:r>
          </w:p>
        </w:tc>
      </w:tr>
      <w:tr w:rsidR="00E46E76" w14:paraId="30DB1006" w14:textId="77777777">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F34BFD6" w14:textId="77777777" w:rsidR="00E46E76" w:rsidRDefault="00000000">
            <w:r>
              <w:rPr>
                <w:color w:val="2C2C2C"/>
                <w:sz w:val="18"/>
                <w:szCs w:val="18"/>
              </w:rPr>
              <w:t>15</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B06FB4" w14:textId="77777777" w:rsidR="00E46E76" w:rsidRDefault="00000000">
            <w:r>
              <w:rPr>
                <w:color w:val="2C2C2C"/>
                <w:sz w:val="18"/>
                <w:szCs w:val="18"/>
              </w:rPr>
              <w:t>Winter/summer hydrographs — key parameters</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CBA02B6"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06F469" w14:textId="77777777" w:rsidR="00E46E76" w:rsidRDefault="00000000">
            <w:r>
              <w:rPr>
                <w:color w:val="2C2C2C"/>
                <w:sz w:val="18"/>
                <w:szCs w:val="18"/>
              </w:rPr>
              <w:t>pp. 27–39 (Figs 4-8, 4-9, 4-11, 4-12)</w:t>
            </w:r>
          </w:p>
        </w:tc>
      </w:tr>
      <w:tr w:rsidR="00E46E76" w14:paraId="1C7B6350" w14:textId="77777777">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F0292A4" w14:textId="77777777" w:rsidR="00E46E76" w:rsidRDefault="00000000">
            <w:r>
              <w:rPr>
                <w:color w:val="2C2C2C"/>
                <w:sz w:val="18"/>
                <w:szCs w:val="18"/>
              </w:rPr>
              <w:t>16</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0C07CF7" w14:textId="77777777" w:rsidR="00E46E76" w:rsidRDefault="00000000">
            <w:r>
              <w:rPr>
                <w:color w:val="2C2C2C"/>
                <w:sz w:val="18"/>
                <w:szCs w:val="18"/>
              </w:rPr>
              <w:t>Calibration hydrograph (observed vs simulated)</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386CBF8" w14:textId="77777777" w:rsidR="00E46E76" w:rsidRDefault="00000000">
            <w:r>
              <w:rPr>
                <w:color w:val="2C2C2C"/>
                <w:sz w:val="18"/>
                <w:szCs w:val="18"/>
              </w:rPr>
              <w:t>Hahle.pdf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54BEACC" w14:textId="77777777" w:rsidR="00E46E76" w:rsidRDefault="00000000">
            <w:r>
              <w:rPr>
                <w:color w:val="2C2C2C"/>
                <w:sz w:val="18"/>
                <w:szCs w:val="18"/>
              </w:rPr>
              <w:t>Section 4.5 (calibration period plot)</w:t>
            </w:r>
          </w:p>
        </w:tc>
      </w:tr>
    </w:tbl>
    <w:p w14:paraId="449DA750" w14:textId="77777777" w:rsidR="00E46E76" w:rsidRDefault="00E46E76">
      <w:pPr>
        <w:spacing w:after="200"/>
      </w:pPr>
    </w:p>
    <w:sectPr w:rsidR="00E46E76">
      <w:headerReference w:type="default" r:id="rId22"/>
      <w:footerReference w:type="default" r:id="rId2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A3D04" w14:textId="77777777" w:rsidR="004970BD" w:rsidRDefault="004970BD">
      <w:r>
        <w:separator/>
      </w:r>
    </w:p>
  </w:endnote>
  <w:endnote w:type="continuationSeparator" w:id="0">
    <w:p w14:paraId="38AD515A" w14:textId="77777777" w:rsidR="004970BD" w:rsidRDefault="00497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A445" w14:textId="77777777" w:rsidR="00E46E76" w:rsidRDefault="00000000">
    <w:pPr>
      <w:pBdr>
        <w:top w:val="single" w:sz="4" w:space="4" w:color="0A7B74"/>
      </w:pBdr>
      <w:tabs>
        <w:tab w:val="right" w:pos="9638"/>
      </w:tabs>
    </w:pPr>
    <w:r>
      <w:rPr>
        <w:color w:val="0A7B74"/>
        <w:sz w:val="16"/>
        <w:szCs w:val="16"/>
      </w:rPr>
      <w:t>https://kabirks29-piw.github.io/portfolio-kabir/</w:t>
    </w:r>
    <w:r>
      <w:rPr>
        <w:sz w:val="16"/>
        <w:szCs w:val="16"/>
      </w:rPr>
      <w:tab/>
    </w:r>
    <w:r>
      <w:rPr>
        <w:color w:val="0A1628"/>
        <w:sz w:val="16"/>
        <w:szCs w:val="16"/>
      </w:rPr>
      <w:t>kabir.kundapur.sheik@stud.uni-hannover.de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0767" w14:textId="77777777" w:rsidR="004970BD" w:rsidRDefault="004970BD">
      <w:r>
        <w:separator/>
      </w:r>
    </w:p>
  </w:footnote>
  <w:footnote w:type="continuationSeparator" w:id="0">
    <w:p w14:paraId="4CD80652" w14:textId="77777777" w:rsidR="004970BD" w:rsidRDefault="00497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84BF4" w14:textId="77777777" w:rsidR="00E46E76" w:rsidRDefault="00000000">
    <w:pPr>
      <w:pBdr>
        <w:bottom w:val="single" w:sz="6" w:space="4" w:color="0A7B74"/>
      </w:pBdr>
      <w:jc w:val="center"/>
    </w:pPr>
    <w:r>
      <w:rPr>
        <w:b/>
        <w:bCs/>
        <w:color w:val="0A1628"/>
        <w:sz w:val="18"/>
        <w:szCs w:val="18"/>
      </w:rPr>
      <w:t>Kabir Kundapur Sheik  |  M.Sc. WATENV  |  Leibniz Universität Hannover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E2709"/>
    <w:multiLevelType w:val="hybridMultilevel"/>
    <w:tmpl w:val="708AE35E"/>
    <w:lvl w:ilvl="0" w:tplc="2EB2CF8E">
      <w:start w:val="1"/>
      <w:numFmt w:val="bullet"/>
      <w:lvlText w:val="▸"/>
      <w:lvlJc w:val="left"/>
      <w:pPr>
        <w:ind w:left="600" w:hanging="360"/>
      </w:pPr>
      <w:rPr>
        <w:rFonts w:ascii="Arial" w:eastAsia="Arial" w:hAnsi="Arial" w:cs="Arial"/>
        <w:color w:val="0A7B74"/>
      </w:rPr>
    </w:lvl>
    <w:lvl w:ilvl="1" w:tplc="FEB4D1C0">
      <w:numFmt w:val="decimal"/>
      <w:lvlText w:val=""/>
      <w:lvlJc w:val="left"/>
    </w:lvl>
    <w:lvl w:ilvl="2" w:tplc="3F04F74C">
      <w:numFmt w:val="decimal"/>
      <w:lvlText w:val=""/>
      <w:lvlJc w:val="left"/>
    </w:lvl>
    <w:lvl w:ilvl="3" w:tplc="A656D058">
      <w:numFmt w:val="decimal"/>
      <w:lvlText w:val=""/>
      <w:lvlJc w:val="left"/>
    </w:lvl>
    <w:lvl w:ilvl="4" w:tplc="804ED000">
      <w:numFmt w:val="decimal"/>
      <w:lvlText w:val=""/>
      <w:lvlJc w:val="left"/>
    </w:lvl>
    <w:lvl w:ilvl="5" w:tplc="2DD237CA">
      <w:numFmt w:val="decimal"/>
      <w:lvlText w:val=""/>
      <w:lvlJc w:val="left"/>
    </w:lvl>
    <w:lvl w:ilvl="6" w:tplc="B68E0598">
      <w:numFmt w:val="decimal"/>
      <w:lvlText w:val=""/>
      <w:lvlJc w:val="left"/>
    </w:lvl>
    <w:lvl w:ilvl="7" w:tplc="05641906">
      <w:numFmt w:val="decimal"/>
      <w:lvlText w:val=""/>
      <w:lvlJc w:val="left"/>
    </w:lvl>
    <w:lvl w:ilvl="8" w:tplc="67D4B88C">
      <w:numFmt w:val="decimal"/>
      <w:lvlText w:val=""/>
      <w:lvlJc w:val="left"/>
    </w:lvl>
  </w:abstractNum>
  <w:abstractNum w:abstractNumId="1" w15:restartNumberingAfterBreak="0">
    <w:nsid w:val="4622518A"/>
    <w:multiLevelType w:val="hybridMultilevel"/>
    <w:tmpl w:val="9F1A497E"/>
    <w:lvl w:ilvl="0" w:tplc="DA5EC154">
      <w:start w:val="1"/>
      <w:numFmt w:val="bullet"/>
      <w:lvlText w:val="●"/>
      <w:lvlJc w:val="left"/>
      <w:pPr>
        <w:ind w:left="720" w:hanging="360"/>
      </w:pPr>
    </w:lvl>
    <w:lvl w:ilvl="1" w:tplc="39C4607A">
      <w:start w:val="1"/>
      <w:numFmt w:val="bullet"/>
      <w:lvlText w:val="○"/>
      <w:lvlJc w:val="left"/>
      <w:pPr>
        <w:ind w:left="1440" w:hanging="360"/>
      </w:pPr>
    </w:lvl>
    <w:lvl w:ilvl="2" w:tplc="B4F6BDC4">
      <w:start w:val="1"/>
      <w:numFmt w:val="bullet"/>
      <w:lvlText w:val="■"/>
      <w:lvlJc w:val="left"/>
      <w:pPr>
        <w:ind w:left="2160" w:hanging="360"/>
      </w:pPr>
    </w:lvl>
    <w:lvl w:ilvl="3" w:tplc="85C08FF4">
      <w:start w:val="1"/>
      <w:numFmt w:val="bullet"/>
      <w:lvlText w:val="●"/>
      <w:lvlJc w:val="left"/>
      <w:pPr>
        <w:ind w:left="2880" w:hanging="360"/>
      </w:pPr>
    </w:lvl>
    <w:lvl w:ilvl="4" w:tplc="235026B4">
      <w:start w:val="1"/>
      <w:numFmt w:val="bullet"/>
      <w:lvlText w:val="○"/>
      <w:lvlJc w:val="left"/>
      <w:pPr>
        <w:ind w:left="3600" w:hanging="360"/>
      </w:pPr>
    </w:lvl>
    <w:lvl w:ilvl="5" w:tplc="53E4C5CC">
      <w:start w:val="1"/>
      <w:numFmt w:val="bullet"/>
      <w:lvlText w:val="■"/>
      <w:lvlJc w:val="left"/>
      <w:pPr>
        <w:ind w:left="4320" w:hanging="360"/>
      </w:pPr>
    </w:lvl>
    <w:lvl w:ilvl="6" w:tplc="C796762E">
      <w:start w:val="1"/>
      <w:numFmt w:val="bullet"/>
      <w:lvlText w:val="●"/>
      <w:lvlJc w:val="left"/>
      <w:pPr>
        <w:ind w:left="5040" w:hanging="360"/>
      </w:pPr>
    </w:lvl>
    <w:lvl w:ilvl="7" w:tplc="31D66A30">
      <w:start w:val="1"/>
      <w:numFmt w:val="bullet"/>
      <w:lvlText w:val="●"/>
      <w:lvlJc w:val="left"/>
      <w:pPr>
        <w:ind w:left="5760" w:hanging="360"/>
      </w:pPr>
    </w:lvl>
    <w:lvl w:ilvl="8" w:tplc="42007AE6">
      <w:start w:val="1"/>
      <w:numFmt w:val="bullet"/>
      <w:lvlText w:val="●"/>
      <w:lvlJc w:val="left"/>
      <w:pPr>
        <w:ind w:left="6480" w:hanging="360"/>
      </w:pPr>
    </w:lvl>
  </w:abstractNum>
  <w:num w:numId="1" w16cid:durableId="781388574">
    <w:abstractNumId w:val="1"/>
    <w:lvlOverride w:ilvl="0">
      <w:startOverride w:val="1"/>
    </w:lvlOverride>
  </w:num>
  <w:num w:numId="2" w16cid:durableId="941766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E76"/>
    <w:rsid w:val="000113B4"/>
    <w:rsid w:val="00152485"/>
    <w:rsid w:val="004970BD"/>
    <w:rsid w:val="006C1DDD"/>
    <w:rsid w:val="006D47B0"/>
    <w:rsid w:val="006F0438"/>
    <w:rsid w:val="00717F10"/>
    <w:rsid w:val="009529F9"/>
    <w:rsid w:val="009772BE"/>
    <w:rsid w:val="00D1353D"/>
    <w:rsid w:val="00E46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B93C"/>
  <w15:docId w15:val="{86643CC3-6EC2-4043-B5BB-93ACD7F8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2426</Words>
  <Characters>13830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Kabir K S</cp:lastModifiedBy>
  <cp:revision>6</cp:revision>
  <dcterms:created xsi:type="dcterms:W3CDTF">2026-03-25T20:11:00Z</dcterms:created>
  <dcterms:modified xsi:type="dcterms:W3CDTF">2026-03-26T07:30:00Z</dcterms:modified>
</cp:coreProperties>
</file>