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45EEF" w14:textId="42D21A36" w:rsidR="00831CCE" w:rsidRDefault="000F75CF" w:rsidP="00F33E96">
      <w:pPr>
        <w:pStyle w:val="KonuBal"/>
      </w:pPr>
      <w:r w:rsidRPr="000F46A8">
        <w:rPr>
          <w:noProof/>
          <w:lang w:eastAsia="tr-TR"/>
        </w:rPr>
        <mc:AlternateContent>
          <mc:Choice Requires="wps">
            <w:drawing>
              <wp:anchor distT="45720" distB="45720" distL="114300" distR="114300" simplePos="0" relativeHeight="251668480" behindDoc="0" locked="0" layoutInCell="1" allowOverlap="1" wp14:anchorId="514B6B68" wp14:editId="32E31EF0">
                <wp:simplePos x="0" y="0"/>
                <wp:positionH relativeFrom="margin">
                  <wp:posOffset>-334645</wp:posOffset>
                </wp:positionH>
                <wp:positionV relativeFrom="paragraph">
                  <wp:posOffset>5715</wp:posOffset>
                </wp:positionV>
                <wp:extent cx="4521200" cy="84963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0" cy="8496300"/>
                        </a:xfrm>
                        <a:prstGeom prst="rect">
                          <a:avLst/>
                        </a:prstGeom>
                        <a:solidFill>
                          <a:srgbClr val="FFFFFF"/>
                        </a:solidFill>
                        <a:ln w="9525">
                          <a:noFill/>
                          <a:miter lim="800000"/>
                          <a:headEnd/>
                          <a:tailEnd/>
                        </a:ln>
                      </wps:spPr>
                      <wps:txbx>
                        <w:txbxContent>
                          <w:p w14:paraId="59ED801C" w14:textId="77777777" w:rsidR="00C87DCE" w:rsidRDefault="00C87DCE" w:rsidP="00C87DCE">
                            <w:pPr>
                              <w:spacing w:after="120" w:line="228" w:lineRule="auto"/>
                              <w:jc w:val="both"/>
                              <w:rPr>
                                <w:rFonts w:asciiTheme="majorHAnsi" w:hAnsiTheme="majorHAnsi"/>
                                <w:b/>
                                <w:color w:val="0435F9" w:themeColor="accent1"/>
                                <w:sz w:val="18"/>
                                <w:szCs w:val="18"/>
                              </w:rPr>
                            </w:pPr>
                            <w:bookmarkStart w:id="0" w:name="_Hlk35004998"/>
                            <w:bookmarkStart w:id="1" w:name="_Hlk100660802"/>
                            <w:bookmarkStart w:id="2" w:name="_Hlk150524238"/>
                            <w:bookmarkStart w:id="3" w:name="_Hlk210906582"/>
                            <w:bookmarkStart w:id="4" w:name="_Hlk31286500"/>
                            <w:bookmarkStart w:id="5" w:name="_Hlk31286501"/>
                            <w:bookmarkStart w:id="6" w:name="_Hlk31286753"/>
                            <w:bookmarkStart w:id="7" w:name="_Hlk31286754"/>
                            <w:r>
                              <w:rPr>
                                <w:rFonts w:asciiTheme="majorHAnsi" w:hAnsiTheme="majorHAnsi"/>
                                <w:b/>
                                <w:color w:val="0435F9" w:themeColor="accent1"/>
                                <w:sz w:val="18"/>
                                <w:szCs w:val="18"/>
                              </w:rPr>
                              <w:t>Ekim ayında TÜFE enflasyonunun aylık %2,9 olacağını tahmin ediyoruz</w:t>
                            </w:r>
                            <w:r w:rsidRPr="00DC1CF5">
                              <w:rPr>
                                <w:rFonts w:asciiTheme="majorHAnsi" w:hAnsiTheme="majorHAnsi"/>
                                <w:b/>
                                <w:color w:val="0435F9" w:themeColor="accent1"/>
                                <w:sz w:val="18"/>
                                <w:szCs w:val="18"/>
                              </w:rPr>
                              <w:t xml:space="preserve">. </w:t>
                            </w:r>
                          </w:p>
                          <w:p w14:paraId="0758A56A" w14:textId="77777777" w:rsidR="00C87DCE" w:rsidRDefault="00C87DCE" w:rsidP="00C87DCE">
                            <w:pPr>
                              <w:spacing w:after="120" w:line="228" w:lineRule="auto"/>
                              <w:jc w:val="both"/>
                              <w:rPr>
                                <w:rFonts w:asciiTheme="majorHAnsi" w:hAnsiTheme="majorHAnsi"/>
                                <w:b/>
                                <w:color w:val="0435F9" w:themeColor="accent1"/>
                                <w:sz w:val="18"/>
                                <w:szCs w:val="18"/>
                              </w:rPr>
                            </w:pPr>
                            <w:r>
                              <w:rPr>
                                <w:rFonts w:asciiTheme="majorHAnsi" w:hAnsiTheme="majorHAnsi"/>
                                <w:sz w:val="18"/>
                                <w:szCs w:val="18"/>
                              </w:rPr>
                              <w:t xml:space="preserve">Ekim ayında web üzerinden topladığımız Web TÜFE verilerine dayanarak </w:t>
                            </w:r>
                            <w:r w:rsidRPr="00C87DCE">
                              <w:rPr>
                                <w:rFonts w:asciiTheme="majorHAnsi" w:hAnsiTheme="majorHAnsi"/>
                                <w:b/>
                                <w:bCs/>
                                <w:sz w:val="18"/>
                                <w:szCs w:val="18"/>
                              </w:rPr>
                              <w:t xml:space="preserve">aylık enflasyonun %2,90 olarak </w:t>
                            </w:r>
                            <w:r>
                              <w:rPr>
                                <w:rFonts w:asciiTheme="majorHAnsi" w:hAnsiTheme="majorHAnsi"/>
                                <w:sz w:val="18"/>
                                <w:szCs w:val="18"/>
                              </w:rPr>
                              <w:t>gerçekleşeceğini ve %3,09 olarak gerçekleşen Web TÜFE verisinin kapsam farklılıkları sebebi ile bir miktar altında gerçekleşeceğini tahmin ediyoruz. Özellikle gıda grubunda işlenmiş gıda alt grubunda son aylarda gerçekleşen yüksek fiyat artışlarının web fiyatlarına gecikmeli biçimde yansıdığını değerlendiriyoruz. Diğer gruplarda görece benzer oranda gerçekleşeceğini düşünüyoruz.</w:t>
                            </w:r>
                          </w:p>
                          <w:p w14:paraId="6ECE94EB" w14:textId="77777777" w:rsidR="00C87DCE" w:rsidRDefault="00C87DCE" w:rsidP="00C87DCE">
                            <w:pPr>
                              <w:pStyle w:val="NormalWeb"/>
                              <w:spacing w:before="0" w:beforeAutospacing="0" w:after="120" w:afterAutospacing="0" w:line="228" w:lineRule="auto"/>
                              <w:jc w:val="both"/>
                              <w:rPr>
                                <w:rFonts w:asciiTheme="majorHAnsi" w:hAnsiTheme="majorHAnsi" w:cs="Arial"/>
                                <w:b/>
                                <w:color w:val="0435F9" w:themeColor="accent1"/>
                                <w:sz w:val="18"/>
                                <w:szCs w:val="18"/>
                                <w:lang w:val="tr-TR"/>
                              </w:rPr>
                            </w:pPr>
                            <w:r>
                              <w:rPr>
                                <w:rFonts w:asciiTheme="majorHAnsi" w:hAnsiTheme="majorHAnsi" w:cs="Arial"/>
                                <w:b/>
                                <w:color w:val="0435F9" w:themeColor="accent1"/>
                                <w:sz w:val="18"/>
                                <w:szCs w:val="18"/>
                                <w:lang w:val="tr-TR"/>
                              </w:rPr>
                              <w:t>Gıda enflasyonu aylık bazda yüksek kalmaya devam ediyor</w:t>
                            </w:r>
                            <w:r w:rsidRPr="00DC1CF5">
                              <w:rPr>
                                <w:rFonts w:asciiTheme="majorHAnsi" w:hAnsiTheme="majorHAnsi" w:cs="Arial"/>
                                <w:b/>
                                <w:color w:val="0435F9" w:themeColor="accent1"/>
                                <w:sz w:val="18"/>
                                <w:szCs w:val="18"/>
                                <w:lang w:val="tr-TR"/>
                              </w:rPr>
                              <w:t xml:space="preserve">. </w:t>
                            </w:r>
                          </w:p>
                          <w:p w14:paraId="0633EB2B" w14:textId="77777777" w:rsidR="00C87DCE" w:rsidRPr="00DC1CF5" w:rsidRDefault="00C87DCE" w:rsidP="00C87DCE">
                            <w:pPr>
                              <w:pStyle w:val="NormalWeb"/>
                              <w:spacing w:before="0" w:beforeAutospacing="0" w:after="120" w:afterAutospacing="0" w:line="228" w:lineRule="auto"/>
                              <w:jc w:val="both"/>
                              <w:rPr>
                                <w:rFonts w:asciiTheme="majorHAnsi" w:hAnsiTheme="majorHAnsi" w:cs="Arial"/>
                                <w:sz w:val="18"/>
                                <w:szCs w:val="18"/>
                                <w:lang w:val="tr-TR"/>
                              </w:rPr>
                            </w:pPr>
                            <w:r w:rsidRPr="00DC1CF5">
                              <w:rPr>
                                <w:rFonts w:asciiTheme="majorHAnsi" w:hAnsiTheme="majorHAnsi" w:cs="Arial"/>
                                <w:sz w:val="18"/>
                                <w:szCs w:val="18"/>
                                <w:lang w:val="tr-TR"/>
                              </w:rPr>
                              <w:t xml:space="preserve">Geçtiğimiz </w:t>
                            </w:r>
                            <w:r>
                              <w:rPr>
                                <w:rFonts w:asciiTheme="majorHAnsi" w:hAnsiTheme="majorHAnsi" w:cs="Arial"/>
                                <w:sz w:val="18"/>
                                <w:szCs w:val="18"/>
                                <w:lang w:val="tr-TR"/>
                              </w:rPr>
                              <w:t xml:space="preserve">ay </w:t>
                            </w:r>
                            <w:r w:rsidRPr="00C87DCE">
                              <w:rPr>
                                <w:rFonts w:asciiTheme="majorHAnsi" w:hAnsiTheme="majorHAnsi" w:cs="Arial"/>
                                <w:b/>
                                <w:bCs/>
                                <w:sz w:val="18"/>
                                <w:szCs w:val="18"/>
                                <w:lang w:val="tr-TR"/>
                              </w:rPr>
                              <w:t>%4,62 ile çok yüksek gerçekleşen gıda enflasyonundan</w:t>
                            </w:r>
                            <w:r>
                              <w:rPr>
                                <w:rFonts w:asciiTheme="majorHAnsi" w:hAnsiTheme="majorHAnsi" w:cs="Arial"/>
                                <w:sz w:val="18"/>
                                <w:szCs w:val="18"/>
                                <w:lang w:val="tr-TR"/>
                              </w:rPr>
                              <w:t xml:space="preserve"> sonra bu ay bir miktar yavaşlama ile </w:t>
                            </w:r>
                            <w:r w:rsidRPr="00C87DCE">
                              <w:rPr>
                                <w:rFonts w:asciiTheme="majorHAnsi" w:hAnsiTheme="majorHAnsi" w:cs="Arial"/>
                                <w:b/>
                                <w:bCs/>
                                <w:sz w:val="18"/>
                                <w:szCs w:val="18"/>
                                <w:lang w:val="tr-TR"/>
                              </w:rPr>
                              <w:t>%3,30 seviyesinde</w:t>
                            </w:r>
                            <w:r>
                              <w:rPr>
                                <w:rFonts w:asciiTheme="majorHAnsi" w:hAnsiTheme="majorHAnsi" w:cs="Arial"/>
                                <w:sz w:val="18"/>
                                <w:szCs w:val="18"/>
                                <w:lang w:val="tr-TR"/>
                              </w:rPr>
                              <w:t xml:space="preserve"> olacağını tahmin etsek de hala çok yüksek kalmaya devam ediyor. Ekim ayı meyve ve sebze grubunda kış ürünlerinin sepete dahil edilmesiyle özellikle sebze grubunda oldukça yüksek bir artış göreceğimizi tahmin ediyoruz. (%16,5). Meyve grubunda ise limon ve mandalina öncülüğünde fiyatların gerilemeye devam ettiğini gözlemliyoruz. Bunun haricinde makarna, margarin, yumurta ve çay fiyatı en çok yükselen ürünler olarak dikkat çekmekte.</w:t>
                            </w:r>
                          </w:p>
                          <w:p w14:paraId="10D18466" w14:textId="77777777" w:rsidR="00C87DCE" w:rsidRDefault="00C87DCE" w:rsidP="00C87DCE">
                            <w:pPr>
                              <w:pStyle w:val="NormalWeb"/>
                              <w:spacing w:before="0" w:beforeAutospacing="0" w:after="120" w:afterAutospacing="0" w:line="228" w:lineRule="auto"/>
                              <w:jc w:val="both"/>
                              <w:rPr>
                                <w:rFonts w:asciiTheme="majorHAnsi" w:hAnsiTheme="majorHAnsi" w:cs="Arial"/>
                                <w:b/>
                                <w:bCs/>
                                <w:color w:val="0435F9" w:themeColor="accent1"/>
                                <w:sz w:val="18"/>
                                <w:szCs w:val="18"/>
                                <w:lang w:val="tr-TR"/>
                              </w:rPr>
                            </w:pPr>
                            <w:r>
                              <w:rPr>
                                <w:rFonts w:asciiTheme="majorHAnsi" w:hAnsiTheme="majorHAnsi" w:cs="Arial"/>
                                <w:b/>
                                <w:bCs/>
                                <w:color w:val="0435F9" w:themeColor="accent1"/>
                                <w:sz w:val="18"/>
                                <w:szCs w:val="18"/>
                                <w:lang w:val="tr-TR"/>
                              </w:rPr>
                              <w:t>Giyim fiyatları mevsimsel sebeplerle yılın en büyük aylık artışını kaydetti.</w:t>
                            </w:r>
                            <w:r w:rsidRPr="0016775E">
                              <w:rPr>
                                <w:rFonts w:asciiTheme="majorHAnsi" w:hAnsiTheme="majorHAnsi" w:cs="Arial"/>
                                <w:b/>
                                <w:bCs/>
                                <w:color w:val="0435F9" w:themeColor="accent1"/>
                                <w:sz w:val="18"/>
                                <w:szCs w:val="18"/>
                                <w:lang w:val="tr-TR"/>
                              </w:rPr>
                              <w:t xml:space="preserve"> </w:t>
                            </w:r>
                            <w:bookmarkEnd w:id="0"/>
                            <w:bookmarkEnd w:id="1"/>
                            <w:bookmarkEnd w:id="2"/>
                          </w:p>
                          <w:p w14:paraId="50D1043C" w14:textId="77777777" w:rsidR="00C87DCE" w:rsidRDefault="00C87DCE" w:rsidP="00C87DCE">
                            <w:pPr>
                              <w:pStyle w:val="NormalWeb"/>
                              <w:spacing w:before="0" w:beforeAutospacing="0" w:after="120" w:afterAutospacing="0" w:line="228" w:lineRule="auto"/>
                              <w:jc w:val="both"/>
                              <w:rPr>
                                <w:rFonts w:asciiTheme="majorHAnsi" w:hAnsiTheme="majorHAnsi" w:cs="Arial"/>
                                <w:sz w:val="18"/>
                                <w:szCs w:val="18"/>
                                <w:lang w:val="tr-TR"/>
                              </w:rPr>
                            </w:pPr>
                            <w:r>
                              <w:rPr>
                                <w:rFonts w:asciiTheme="majorHAnsi" w:hAnsiTheme="majorHAnsi" w:cs="Arial"/>
                                <w:sz w:val="18"/>
                                <w:szCs w:val="18"/>
                                <w:lang w:val="tr-TR"/>
                              </w:rPr>
                              <w:t xml:space="preserve">Bilindiği üzere giyim grubunda Ekim ayında gıda grubunda olduğu gibi kış sezonu ürünleri sepete dahil edilmektedir. </w:t>
                            </w:r>
                            <w:r w:rsidRPr="00C87DCE">
                              <w:rPr>
                                <w:rFonts w:asciiTheme="majorHAnsi" w:hAnsiTheme="majorHAnsi" w:cs="Arial"/>
                                <w:b/>
                                <w:bCs/>
                                <w:sz w:val="18"/>
                                <w:szCs w:val="18"/>
                                <w:lang w:val="tr-TR"/>
                              </w:rPr>
                              <w:t>Dolayısıyla bu ay, her sene en yüksek aylık artışların olması sebebiyle önem arz etmektedir.</w:t>
                            </w:r>
                            <w:r>
                              <w:rPr>
                                <w:rFonts w:asciiTheme="majorHAnsi" w:hAnsiTheme="majorHAnsi" w:cs="Arial"/>
                                <w:sz w:val="18"/>
                                <w:szCs w:val="18"/>
                                <w:lang w:val="tr-TR"/>
                              </w:rPr>
                              <w:t xml:space="preserve"> Yeni eklenen ürünlerin etkisi ve mevsimsel olmayan ürünlerin de son dönemdeki artış trendini sürdürmesiyle </w:t>
                            </w:r>
                            <w:r w:rsidRPr="004A7990">
                              <w:rPr>
                                <w:rFonts w:asciiTheme="majorHAnsi" w:hAnsiTheme="majorHAnsi" w:cs="Arial"/>
                                <w:b/>
                                <w:bCs/>
                                <w:sz w:val="18"/>
                                <w:szCs w:val="18"/>
                                <w:lang w:val="tr-TR"/>
                              </w:rPr>
                              <w:t>aylık giyim enflasyonunun %13,0 seviyesinde olacağını tahmin etmekteyiz.</w:t>
                            </w:r>
                            <w:r>
                              <w:rPr>
                                <w:rFonts w:asciiTheme="majorHAnsi" w:hAnsiTheme="majorHAnsi" w:cs="Arial"/>
                                <w:sz w:val="18"/>
                                <w:szCs w:val="18"/>
                                <w:lang w:val="tr-TR"/>
                              </w:rPr>
                              <w:t xml:space="preserve"> Bu durum Ekim 2024’te aylık %14,3 artış gösteren giyim grubunun yıllık bazda artışının yavaşlayacağını göstermektedir.</w:t>
                            </w:r>
                          </w:p>
                          <w:p w14:paraId="7D9C6110" w14:textId="77777777" w:rsidR="00C87DCE" w:rsidRDefault="00C87DCE" w:rsidP="00C87DCE">
                            <w:pPr>
                              <w:pStyle w:val="NormalWeb"/>
                              <w:spacing w:before="0" w:beforeAutospacing="0" w:after="120" w:afterAutospacing="0" w:line="228" w:lineRule="auto"/>
                              <w:jc w:val="both"/>
                              <w:rPr>
                                <w:rFonts w:asciiTheme="majorHAnsi" w:hAnsiTheme="majorHAnsi" w:cs="Arial"/>
                                <w:sz w:val="18"/>
                                <w:szCs w:val="18"/>
                                <w:lang w:val="tr-TR"/>
                              </w:rPr>
                            </w:pPr>
                            <w:r w:rsidRPr="00DC1CF5">
                              <w:rPr>
                                <w:rFonts w:asciiTheme="majorHAnsi" w:hAnsiTheme="majorHAnsi" w:cs="Arial"/>
                                <w:sz w:val="18"/>
                                <w:szCs w:val="18"/>
                                <w:lang w:val="tr-TR"/>
                              </w:rPr>
                              <w:t xml:space="preserve">Diğer taraftan </w:t>
                            </w:r>
                            <w:r>
                              <w:rPr>
                                <w:rFonts w:asciiTheme="majorHAnsi" w:hAnsiTheme="majorHAnsi" w:cs="Arial"/>
                                <w:sz w:val="18"/>
                                <w:szCs w:val="18"/>
                                <w:lang w:val="tr-TR"/>
                              </w:rPr>
                              <w:t>enerji grubunun aylık %1,0 artış göstereceğini düşünüyoruz. Grupta akaryakıt fiyatları bir miktar gerilese de büyükşehirlerde TÜFE’ye endekslenen su faturası ve tüp gazda yapılan artış düşüş etkilerini sınırlamıştır.</w:t>
                            </w:r>
                            <w:r w:rsidRPr="00DC1CF5">
                              <w:rPr>
                                <w:rFonts w:asciiTheme="majorHAnsi" w:hAnsiTheme="majorHAnsi" w:cs="Arial"/>
                                <w:sz w:val="18"/>
                                <w:szCs w:val="18"/>
                                <w:lang w:val="tr-TR"/>
                              </w:rPr>
                              <w:t xml:space="preserve"> </w:t>
                            </w:r>
                          </w:p>
                          <w:p w14:paraId="734498E6" w14:textId="77777777" w:rsidR="00C87DCE" w:rsidRPr="00BA24A9" w:rsidRDefault="00C87DCE" w:rsidP="00C87DCE">
                            <w:pPr>
                              <w:pStyle w:val="NormalWeb"/>
                              <w:spacing w:before="0" w:beforeAutospacing="0" w:after="120" w:afterAutospacing="0" w:line="228" w:lineRule="auto"/>
                              <w:jc w:val="both"/>
                              <w:rPr>
                                <w:rFonts w:asciiTheme="majorHAnsi" w:hAnsiTheme="majorHAnsi" w:cs="Arial"/>
                                <w:sz w:val="18"/>
                                <w:szCs w:val="18"/>
                                <w:lang w:val="tr-TR"/>
                              </w:rPr>
                            </w:pPr>
                            <w:r>
                              <w:rPr>
                                <w:rFonts w:asciiTheme="majorHAnsi" w:hAnsiTheme="majorHAnsi" w:cs="Arial"/>
                                <w:sz w:val="18"/>
                                <w:szCs w:val="18"/>
                                <w:lang w:val="tr-TR"/>
                              </w:rPr>
                              <w:t xml:space="preserve">Dayanıklı mal grubuna baktığımızda bu grupta ağırlığıyla önemli bir etki yapan otomobil grubunda son dönemde EURTRY kurundaki artışların yansıtılmasıyla fiyat artışlarının devam ettiğini, </w:t>
                            </w:r>
                            <w:r w:rsidRPr="004A7990">
                              <w:rPr>
                                <w:rFonts w:asciiTheme="majorHAnsi" w:hAnsiTheme="majorHAnsi" w:cs="Arial"/>
                                <w:b/>
                                <w:bCs/>
                                <w:sz w:val="18"/>
                                <w:szCs w:val="18"/>
                                <w:lang w:val="tr-TR"/>
                              </w:rPr>
                              <w:t>otomobil grubu genelinde %2,85 artış</w:t>
                            </w:r>
                            <w:r>
                              <w:rPr>
                                <w:rFonts w:asciiTheme="majorHAnsi" w:hAnsiTheme="majorHAnsi" w:cs="Arial"/>
                                <w:sz w:val="18"/>
                                <w:szCs w:val="18"/>
                                <w:lang w:val="tr-TR"/>
                              </w:rPr>
                              <w:t xml:space="preserve"> olduğunu tahmin ediyoruz. Bunun haricinde mobilya ve beyaz eşyadaki artışlar daha ılımlı kalmaktadır.</w:t>
                            </w:r>
                          </w:p>
                          <w:p w14:paraId="29AA9396" w14:textId="77777777" w:rsidR="00C87DCE" w:rsidRDefault="00C87DCE" w:rsidP="00C87DCE">
                            <w:pPr>
                              <w:pStyle w:val="Default"/>
                              <w:spacing w:after="120" w:line="228" w:lineRule="auto"/>
                              <w:jc w:val="both"/>
                              <w:rPr>
                                <w:rFonts w:asciiTheme="majorHAnsi" w:hAnsiTheme="majorHAnsi"/>
                                <w:sz w:val="18"/>
                                <w:szCs w:val="18"/>
                              </w:rPr>
                            </w:pPr>
                            <w:r>
                              <w:rPr>
                                <w:rFonts w:asciiTheme="majorHAnsi" w:hAnsiTheme="majorHAnsi" w:cs="Arial"/>
                                <w:b/>
                                <w:bCs/>
                                <w:color w:val="0435F9" w:themeColor="accent1"/>
                                <w:sz w:val="18"/>
                                <w:szCs w:val="18"/>
                              </w:rPr>
                              <w:t>Son çeyreğe girerken hizmet enflasyonu aylık bazda yavaşlıyor.</w:t>
                            </w:r>
                            <w:r w:rsidRPr="008847E9">
                              <w:rPr>
                                <w:rFonts w:asciiTheme="majorHAnsi" w:hAnsiTheme="majorHAnsi" w:cs="Arial"/>
                                <w:b/>
                                <w:bCs/>
                                <w:color w:val="0435F9" w:themeColor="accent1"/>
                                <w:sz w:val="18"/>
                                <w:szCs w:val="18"/>
                              </w:rPr>
                              <w:t xml:space="preserve"> </w:t>
                            </w:r>
                          </w:p>
                          <w:p w14:paraId="0FECA7DA" w14:textId="77777777" w:rsidR="00C87DCE" w:rsidRPr="008847E9" w:rsidRDefault="00C87DCE" w:rsidP="00C87DCE">
                            <w:pPr>
                              <w:pStyle w:val="Default"/>
                              <w:spacing w:after="120" w:line="228" w:lineRule="auto"/>
                              <w:jc w:val="both"/>
                              <w:rPr>
                                <w:rFonts w:asciiTheme="majorHAnsi" w:hAnsiTheme="majorHAnsi"/>
                                <w:b/>
                                <w:bCs/>
                                <w:sz w:val="18"/>
                                <w:szCs w:val="18"/>
                              </w:rPr>
                            </w:pPr>
                            <w:r w:rsidRPr="00C87DCE">
                              <w:rPr>
                                <w:rFonts w:asciiTheme="majorHAnsi" w:hAnsiTheme="majorHAnsi"/>
                                <w:b/>
                                <w:bCs/>
                                <w:sz w:val="18"/>
                                <w:szCs w:val="18"/>
                              </w:rPr>
                              <w:t>Ekim ayında aylık hizmet enflasyonunun %1,9 olacağını tahmin ediyoruz.</w:t>
                            </w:r>
                            <w:r>
                              <w:rPr>
                                <w:rFonts w:asciiTheme="majorHAnsi" w:hAnsiTheme="majorHAnsi"/>
                                <w:sz w:val="18"/>
                                <w:szCs w:val="18"/>
                              </w:rPr>
                              <w:t xml:space="preserve"> Bu durum, geçtiğimiz yılın Ekim ayına göre benzer oranda bir artışa işaret etse de Eylül ayındaki yoğun fiyat artışlarının ardından son çeyrekte mevsimsel olarak hizmet enflasyonunun yavaşlayacağını göstermektedir. </w:t>
                            </w:r>
                            <w:r w:rsidRPr="00C87DCE">
                              <w:rPr>
                                <w:rFonts w:asciiTheme="majorHAnsi" w:hAnsiTheme="majorHAnsi"/>
                                <w:b/>
                                <w:bCs/>
                                <w:sz w:val="18"/>
                                <w:szCs w:val="18"/>
                              </w:rPr>
                              <w:t>Kira enflasyonu Eylül ayındaki yüksek sözleşme yenileme oranlarına rağmen aylık bazda yavaşlamıştır.</w:t>
                            </w:r>
                            <w:r>
                              <w:rPr>
                                <w:rFonts w:asciiTheme="majorHAnsi" w:hAnsiTheme="majorHAnsi"/>
                                <w:sz w:val="18"/>
                                <w:szCs w:val="18"/>
                              </w:rPr>
                              <w:t xml:space="preserve"> Bu durum bize mevsimsel düzeltilmiş verilerden de anlaşılacağı üzere kira enflasyonunda iyileşmeye işaret etmektedir. </w:t>
                            </w:r>
                            <w:r w:rsidRPr="00C87DCE">
                              <w:rPr>
                                <w:rFonts w:asciiTheme="majorHAnsi" w:hAnsiTheme="majorHAnsi"/>
                                <w:b/>
                                <w:bCs/>
                                <w:sz w:val="18"/>
                                <w:szCs w:val="18"/>
                              </w:rPr>
                              <w:t>Ekim ayında da bu yavaşlamanın sürmesini ve aylık kira enflasyonunun %3,5 seviyesinde gerçekleşerek yıllık bazda düşüşüne devam etmesini bekliyoruz.</w:t>
                            </w:r>
                            <w:r>
                              <w:rPr>
                                <w:rFonts w:asciiTheme="majorHAnsi" w:hAnsiTheme="majorHAnsi"/>
                                <w:sz w:val="18"/>
                                <w:szCs w:val="18"/>
                              </w:rPr>
                              <w:t xml:space="preserve"> Lokanta ve otel grubunda sezonun bitmesiyle otel fiyatlarının gerilediğini, lokanta fiyatlarının ise ılımlı arttığını takip ettik. Ulaştırma hizmetleri grubunda ise geçtiğimiz ay yapılan toplu taşıma zamlarının bir kısmının bu aya sarktığını, şehirlerarası otobüs bileti ve uçak bileti gibi maddelerde fiyatların gerilemeye devam ettiğini söylemek mümkün.</w:t>
                            </w:r>
                          </w:p>
                          <w:p w14:paraId="04F01F2E" w14:textId="77777777" w:rsidR="00C87DCE" w:rsidRDefault="00C87DCE" w:rsidP="00C87DCE">
                            <w:pPr>
                              <w:pStyle w:val="Default"/>
                              <w:spacing w:after="120" w:line="228" w:lineRule="auto"/>
                              <w:jc w:val="both"/>
                              <w:rPr>
                                <w:rFonts w:asciiTheme="majorHAnsi" w:hAnsiTheme="majorHAnsi"/>
                                <w:b/>
                                <w:color w:val="0435F9" w:themeColor="accent1"/>
                                <w:sz w:val="18"/>
                                <w:szCs w:val="18"/>
                              </w:rPr>
                            </w:pPr>
                            <w:r>
                              <w:rPr>
                                <w:rFonts w:asciiTheme="majorHAnsi" w:hAnsiTheme="majorHAnsi"/>
                                <w:b/>
                                <w:color w:val="0435F9" w:themeColor="accent1"/>
                                <w:sz w:val="18"/>
                                <w:szCs w:val="18"/>
                              </w:rPr>
                              <w:t>Enflasyon ana eğiliminde kayda değer bir iyileşme beklemiyoruz.</w:t>
                            </w:r>
                          </w:p>
                          <w:p w14:paraId="0AE8D80B" w14:textId="5601DB05" w:rsidR="00C87DCE" w:rsidRPr="00C87DCE" w:rsidRDefault="00C87DCE" w:rsidP="00C87DCE">
                            <w:pPr>
                              <w:pStyle w:val="Default"/>
                              <w:spacing w:after="120" w:line="228" w:lineRule="auto"/>
                              <w:jc w:val="both"/>
                              <w:rPr>
                                <w:rFonts w:asciiTheme="majorHAnsi" w:hAnsiTheme="majorHAnsi"/>
                                <w:b/>
                                <w:bCs/>
                                <w:sz w:val="18"/>
                                <w:szCs w:val="18"/>
                              </w:rPr>
                            </w:pPr>
                            <w:r>
                              <w:rPr>
                                <w:rFonts w:asciiTheme="majorHAnsi" w:hAnsiTheme="majorHAnsi"/>
                                <w:sz w:val="18"/>
                                <w:szCs w:val="18"/>
                              </w:rPr>
                              <w:t xml:space="preserve">Merkez Bankası, Eylül ayında enflasyonun ana eğiliminin yükseldiği yönlendirmesini yapmıştı. Keza, mevsimsel düzeltilmiş enflasyon %2,7 ile oldukça yüksek seviyede gerçekleşmişti. </w:t>
                            </w:r>
                            <w:r w:rsidRPr="00C87DCE">
                              <w:rPr>
                                <w:rFonts w:asciiTheme="majorHAnsi" w:hAnsiTheme="majorHAnsi"/>
                                <w:b/>
                                <w:bCs/>
                                <w:sz w:val="18"/>
                                <w:szCs w:val="18"/>
                              </w:rPr>
                              <w:t>%2,9 aylık tahminimize göre mevsimsel düzeltilmiş verinin %2,4 civarına yavaşlayacağını tahmin etsek de henüz kayda değer bir iyileşmenin gerçekleşmediğini düşünüyoruz.</w:t>
                            </w:r>
                          </w:p>
                          <w:bookmarkEnd w:id="3"/>
                          <w:p w14:paraId="2568B8F1" w14:textId="77777777" w:rsidR="00683CAB" w:rsidRDefault="00683CAB" w:rsidP="008905C2">
                            <w:pPr>
                              <w:pStyle w:val="Default"/>
                              <w:spacing w:after="120"/>
                              <w:jc w:val="both"/>
                              <w:rPr>
                                <w:rFonts w:asciiTheme="majorHAnsi" w:hAnsiTheme="majorHAnsi"/>
                                <w:b/>
                                <w:bCs/>
                                <w:sz w:val="18"/>
                                <w:szCs w:val="18"/>
                              </w:rPr>
                            </w:pPr>
                          </w:p>
                          <w:p w14:paraId="5F62BAB4" w14:textId="69A17915" w:rsidR="00261B4A" w:rsidRDefault="00261B4A" w:rsidP="006C3BD5">
                            <w:pPr>
                              <w:pStyle w:val="Default"/>
                              <w:jc w:val="both"/>
                              <w:rPr>
                                <w:rFonts w:asciiTheme="majorHAnsi" w:hAnsiTheme="majorHAnsi"/>
                                <w:b/>
                                <w:bCs/>
                                <w:sz w:val="18"/>
                                <w:szCs w:val="18"/>
                              </w:rPr>
                            </w:pPr>
                          </w:p>
                          <w:p w14:paraId="72AF17D5" w14:textId="77777777" w:rsidR="00261B4A" w:rsidRPr="00064949" w:rsidRDefault="00261B4A" w:rsidP="006C3BD5">
                            <w:pPr>
                              <w:pStyle w:val="Default"/>
                              <w:jc w:val="both"/>
                              <w:rPr>
                                <w:rFonts w:asciiTheme="majorHAnsi" w:hAnsiTheme="majorHAnsi"/>
                                <w:b/>
                                <w:bCs/>
                                <w:sz w:val="19"/>
                                <w:szCs w:val="19"/>
                              </w:rPr>
                            </w:pPr>
                          </w:p>
                          <w:p w14:paraId="7982D942" w14:textId="722F994C" w:rsidR="00157EE8" w:rsidRDefault="00157EE8" w:rsidP="00A86ED7">
                            <w:pPr>
                              <w:spacing w:after="240" w:line="245" w:lineRule="auto"/>
                              <w:jc w:val="both"/>
                              <w:rPr>
                                <w:rFonts w:asciiTheme="majorHAnsi" w:hAnsiTheme="majorHAnsi"/>
                                <w:b/>
                                <w:bCs/>
                                <w:sz w:val="19"/>
                                <w:szCs w:val="19"/>
                              </w:rPr>
                            </w:pPr>
                          </w:p>
                          <w:bookmarkEnd w:id="4"/>
                          <w:bookmarkEnd w:id="5"/>
                          <w:bookmarkEnd w:id="6"/>
                          <w:bookmarkEnd w:id="7"/>
                          <w:p w14:paraId="2718FF8F" w14:textId="77777777" w:rsidR="00157EE8" w:rsidRPr="00B109A4" w:rsidRDefault="00157EE8" w:rsidP="00A86ED7">
                            <w:pPr>
                              <w:spacing w:after="240" w:line="245" w:lineRule="auto"/>
                              <w:jc w:val="both"/>
                              <w:rPr>
                                <w:rFonts w:asciiTheme="majorHAnsi" w:hAnsiTheme="majorHAnsi"/>
                                <w:b/>
                                <w:bCs/>
                                <w:sz w:val="19"/>
                                <w:szCs w:val="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4B6B68" id="_x0000_t202" coordsize="21600,21600" o:spt="202" path="m,l,21600r21600,l21600,xe">
                <v:stroke joinstyle="miter"/>
                <v:path gradientshapeok="t" o:connecttype="rect"/>
              </v:shapetype>
              <v:shape id="Text Box 2" o:spid="_x0000_s1026" type="#_x0000_t202" style="position:absolute;margin-left:-26.35pt;margin-top:.45pt;width:356pt;height:66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" stroked="f">
                <v:textbox>
                  <w:txbxContent>
                    <w:p w14:paraId="59ED801C" w14:textId="77777777" w:rsidR="00C87DCE" w:rsidRDefault="00C87DCE" w:rsidP="00C87DCE">
                      <w:pPr>
                        <w:spacing w:after="120" w:line="228" w:lineRule="auto"/>
                        <w:jc w:val="both"/>
                        <w:rPr>
                          <w:rFonts w:asciiTheme="majorHAnsi" w:hAnsiTheme="majorHAnsi"/>
                          <w:b/>
                          <w:color w:val="0435F9" w:themeColor="accent1"/>
                          <w:sz w:val="18"/>
                          <w:szCs w:val="18"/>
                        </w:rPr>
                      </w:pPr>
                      <w:bookmarkStart w:id="8" w:name="_Hlk35004998"/>
                      <w:bookmarkStart w:id="9" w:name="_Hlk100660802"/>
                      <w:bookmarkStart w:id="10" w:name="_Hlk150524238"/>
                      <w:bookmarkStart w:id="11" w:name="_Hlk210906582"/>
                      <w:bookmarkStart w:id="12" w:name="_Hlk31286500"/>
                      <w:bookmarkStart w:id="13" w:name="_Hlk31286501"/>
                      <w:bookmarkStart w:id="14" w:name="_Hlk31286753"/>
                      <w:bookmarkStart w:id="15" w:name="_Hlk31286754"/>
                      <w:r>
                        <w:rPr>
                          <w:rFonts w:asciiTheme="majorHAnsi" w:hAnsiTheme="majorHAnsi"/>
                          <w:b/>
                          <w:color w:val="0435F9" w:themeColor="accent1"/>
                          <w:sz w:val="18"/>
                          <w:szCs w:val="18"/>
                        </w:rPr>
                        <w:t>Ekim ayında TÜFE enflasyonunun aylık %2,9 olacağını tahmin ediyoruz</w:t>
                      </w:r>
                      <w:r w:rsidRPr="00DC1CF5">
                        <w:rPr>
                          <w:rFonts w:asciiTheme="majorHAnsi" w:hAnsiTheme="majorHAnsi"/>
                          <w:b/>
                          <w:color w:val="0435F9" w:themeColor="accent1"/>
                          <w:sz w:val="18"/>
                          <w:szCs w:val="18"/>
                        </w:rPr>
                        <w:t xml:space="preserve">. </w:t>
                      </w:r>
                    </w:p>
                    <w:p w14:paraId="0758A56A" w14:textId="77777777" w:rsidR="00C87DCE" w:rsidRDefault="00C87DCE" w:rsidP="00C87DCE">
                      <w:pPr>
                        <w:spacing w:after="120" w:line="228" w:lineRule="auto"/>
                        <w:jc w:val="both"/>
                        <w:rPr>
                          <w:rFonts w:asciiTheme="majorHAnsi" w:hAnsiTheme="majorHAnsi"/>
                          <w:b/>
                          <w:color w:val="0435F9" w:themeColor="accent1"/>
                          <w:sz w:val="18"/>
                          <w:szCs w:val="18"/>
                        </w:rPr>
                      </w:pPr>
                      <w:r>
                        <w:rPr>
                          <w:rFonts w:asciiTheme="majorHAnsi" w:hAnsiTheme="majorHAnsi"/>
                          <w:sz w:val="18"/>
                          <w:szCs w:val="18"/>
                        </w:rPr>
                        <w:t xml:space="preserve">Ekim ayında web üzerinden topladığımız Web TÜFE verilerine dayanarak </w:t>
                      </w:r>
                      <w:r w:rsidRPr="00C87DCE">
                        <w:rPr>
                          <w:rFonts w:asciiTheme="majorHAnsi" w:hAnsiTheme="majorHAnsi"/>
                          <w:b/>
                          <w:bCs/>
                          <w:sz w:val="18"/>
                          <w:szCs w:val="18"/>
                        </w:rPr>
                        <w:t xml:space="preserve">aylık enflasyonun %2,90 olarak </w:t>
                      </w:r>
                      <w:r>
                        <w:rPr>
                          <w:rFonts w:asciiTheme="majorHAnsi" w:hAnsiTheme="majorHAnsi"/>
                          <w:sz w:val="18"/>
                          <w:szCs w:val="18"/>
                        </w:rPr>
                        <w:t>gerçekleşeceğini ve %3,09 olarak gerçekleşen Web TÜFE verisinin kapsam farklılıkları sebebi ile bir miktar altında gerçekleşeceğini tahmin ediyoruz. Özellikle gıda grubunda işlenmiş gıda alt grubunda son aylarda gerçekleşen yüksek fiyat artışlarının web fiyatlarına gecikmeli biçimde yansıdığını değerlendiriyoruz. Diğer gruplarda görece benzer oranda gerçekleşeceğini düşünüyoruz.</w:t>
                      </w:r>
                    </w:p>
                    <w:p w14:paraId="6ECE94EB" w14:textId="77777777" w:rsidR="00C87DCE" w:rsidRDefault="00C87DCE" w:rsidP="00C87DCE">
                      <w:pPr>
                        <w:pStyle w:val="NormalWeb"/>
                        <w:spacing w:before="0" w:beforeAutospacing="0" w:after="120" w:afterAutospacing="0" w:line="228" w:lineRule="auto"/>
                        <w:jc w:val="both"/>
                        <w:rPr>
                          <w:rFonts w:asciiTheme="majorHAnsi" w:hAnsiTheme="majorHAnsi" w:cs="Arial"/>
                          <w:b/>
                          <w:color w:val="0435F9" w:themeColor="accent1"/>
                          <w:sz w:val="18"/>
                          <w:szCs w:val="18"/>
                          <w:lang w:val="tr-TR"/>
                        </w:rPr>
                      </w:pPr>
                      <w:r>
                        <w:rPr>
                          <w:rFonts w:asciiTheme="majorHAnsi" w:hAnsiTheme="majorHAnsi" w:cs="Arial"/>
                          <w:b/>
                          <w:color w:val="0435F9" w:themeColor="accent1"/>
                          <w:sz w:val="18"/>
                          <w:szCs w:val="18"/>
                          <w:lang w:val="tr-TR"/>
                        </w:rPr>
                        <w:t>Gıda enflasyonu aylık bazda yüksek kalmaya devam ediyor</w:t>
                      </w:r>
                      <w:r w:rsidRPr="00DC1CF5">
                        <w:rPr>
                          <w:rFonts w:asciiTheme="majorHAnsi" w:hAnsiTheme="majorHAnsi" w:cs="Arial"/>
                          <w:b/>
                          <w:color w:val="0435F9" w:themeColor="accent1"/>
                          <w:sz w:val="18"/>
                          <w:szCs w:val="18"/>
                          <w:lang w:val="tr-TR"/>
                        </w:rPr>
                        <w:t xml:space="preserve">. </w:t>
                      </w:r>
                    </w:p>
                    <w:p w14:paraId="0633EB2B" w14:textId="77777777" w:rsidR="00C87DCE" w:rsidRPr="00DC1CF5" w:rsidRDefault="00C87DCE" w:rsidP="00C87DCE">
                      <w:pPr>
                        <w:pStyle w:val="NormalWeb"/>
                        <w:spacing w:before="0" w:beforeAutospacing="0" w:after="120" w:afterAutospacing="0" w:line="228" w:lineRule="auto"/>
                        <w:jc w:val="both"/>
                        <w:rPr>
                          <w:rFonts w:asciiTheme="majorHAnsi" w:hAnsiTheme="majorHAnsi" w:cs="Arial"/>
                          <w:sz w:val="18"/>
                          <w:szCs w:val="18"/>
                          <w:lang w:val="tr-TR"/>
                        </w:rPr>
                      </w:pPr>
                      <w:r w:rsidRPr="00DC1CF5">
                        <w:rPr>
                          <w:rFonts w:asciiTheme="majorHAnsi" w:hAnsiTheme="majorHAnsi" w:cs="Arial"/>
                          <w:sz w:val="18"/>
                          <w:szCs w:val="18"/>
                          <w:lang w:val="tr-TR"/>
                        </w:rPr>
                        <w:t xml:space="preserve">Geçtiğimiz </w:t>
                      </w:r>
                      <w:r>
                        <w:rPr>
                          <w:rFonts w:asciiTheme="majorHAnsi" w:hAnsiTheme="majorHAnsi" w:cs="Arial"/>
                          <w:sz w:val="18"/>
                          <w:szCs w:val="18"/>
                          <w:lang w:val="tr-TR"/>
                        </w:rPr>
                        <w:t xml:space="preserve">ay </w:t>
                      </w:r>
                      <w:r w:rsidRPr="00C87DCE">
                        <w:rPr>
                          <w:rFonts w:asciiTheme="majorHAnsi" w:hAnsiTheme="majorHAnsi" w:cs="Arial"/>
                          <w:b/>
                          <w:bCs/>
                          <w:sz w:val="18"/>
                          <w:szCs w:val="18"/>
                          <w:lang w:val="tr-TR"/>
                        </w:rPr>
                        <w:t>%4,62 ile çok yüksek gerçekleşen gıda enflasyonundan</w:t>
                      </w:r>
                      <w:r>
                        <w:rPr>
                          <w:rFonts w:asciiTheme="majorHAnsi" w:hAnsiTheme="majorHAnsi" w:cs="Arial"/>
                          <w:sz w:val="18"/>
                          <w:szCs w:val="18"/>
                          <w:lang w:val="tr-TR"/>
                        </w:rPr>
                        <w:t xml:space="preserve"> sonra bu ay bir miktar yavaşlama ile </w:t>
                      </w:r>
                      <w:r w:rsidRPr="00C87DCE">
                        <w:rPr>
                          <w:rFonts w:asciiTheme="majorHAnsi" w:hAnsiTheme="majorHAnsi" w:cs="Arial"/>
                          <w:b/>
                          <w:bCs/>
                          <w:sz w:val="18"/>
                          <w:szCs w:val="18"/>
                          <w:lang w:val="tr-TR"/>
                        </w:rPr>
                        <w:t>%3,30 seviyesinde</w:t>
                      </w:r>
                      <w:r>
                        <w:rPr>
                          <w:rFonts w:asciiTheme="majorHAnsi" w:hAnsiTheme="majorHAnsi" w:cs="Arial"/>
                          <w:sz w:val="18"/>
                          <w:szCs w:val="18"/>
                          <w:lang w:val="tr-TR"/>
                        </w:rPr>
                        <w:t xml:space="preserve"> olacağını tahmin etsek de hala çok yüksek kalmaya devam ediyor. Ekim ayı meyve ve sebze grubunda kış ürünlerinin sepete dahil edilmesiyle özellikle sebze grubunda oldukça yüksek bir artış göreceğimizi tahmin ediyoruz. (%16,5). Meyve grubunda ise limon ve mandalina öncülüğünde fiyatların gerilemeye devam ettiğini gözlemliyoruz. Bunun haricinde makarna, margarin, yumurta ve çay fiyatı en çok yükselen ürünler olarak dikkat çekmekte.</w:t>
                      </w:r>
                    </w:p>
                    <w:p w14:paraId="10D18466" w14:textId="77777777" w:rsidR="00C87DCE" w:rsidRDefault="00C87DCE" w:rsidP="00C87DCE">
                      <w:pPr>
                        <w:pStyle w:val="NormalWeb"/>
                        <w:spacing w:before="0" w:beforeAutospacing="0" w:after="120" w:afterAutospacing="0" w:line="228" w:lineRule="auto"/>
                        <w:jc w:val="both"/>
                        <w:rPr>
                          <w:rFonts w:asciiTheme="majorHAnsi" w:hAnsiTheme="majorHAnsi" w:cs="Arial"/>
                          <w:b/>
                          <w:bCs/>
                          <w:color w:val="0435F9" w:themeColor="accent1"/>
                          <w:sz w:val="18"/>
                          <w:szCs w:val="18"/>
                          <w:lang w:val="tr-TR"/>
                        </w:rPr>
                      </w:pPr>
                      <w:r>
                        <w:rPr>
                          <w:rFonts w:asciiTheme="majorHAnsi" w:hAnsiTheme="majorHAnsi" w:cs="Arial"/>
                          <w:b/>
                          <w:bCs/>
                          <w:color w:val="0435F9" w:themeColor="accent1"/>
                          <w:sz w:val="18"/>
                          <w:szCs w:val="18"/>
                          <w:lang w:val="tr-TR"/>
                        </w:rPr>
                        <w:t>Giyim fiyatları mevsimsel sebeplerle yılın en büyük aylık artışını kaydetti.</w:t>
                      </w:r>
                      <w:r w:rsidRPr="0016775E">
                        <w:rPr>
                          <w:rFonts w:asciiTheme="majorHAnsi" w:hAnsiTheme="majorHAnsi" w:cs="Arial"/>
                          <w:b/>
                          <w:bCs/>
                          <w:color w:val="0435F9" w:themeColor="accent1"/>
                          <w:sz w:val="18"/>
                          <w:szCs w:val="18"/>
                          <w:lang w:val="tr-TR"/>
                        </w:rPr>
                        <w:t xml:space="preserve"> </w:t>
                      </w:r>
                      <w:bookmarkEnd w:id="8"/>
                      <w:bookmarkEnd w:id="9"/>
                      <w:bookmarkEnd w:id="10"/>
                    </w:p>
                    <w:p w14:paraId="50D1043C" w14:textId="77777777" w:rsidR="00C87DCE" w:rsidRDefault="00C87DCE" w:rsidP="00C87DCE">
                      <w:pPr>
                        <w:pStyle w:val="NormalWeb"/>
                        <w:spacing w:before="0" w:beforeAutospacing="0" w:after="120" w:afterAutospacing="0" w:line="228" w:lineRule="auto"/>
                        <w:jc w:val="both"/>
                        <w:rPr>
                          <w:rFonts w:asciiTheme="majorHAnsi" w:hAnsiTheme="majorHAnsi" w:cs="Arial"/>
                          <w:sz w:val="18"/>
                          <w:szCs w:val="18"/>
                          <w:lang w:val="tr-TR"/>
                        </w:rPr>
                      </w:pPr>
                      <w:r>
                        <w:rPr>
                          <w:rFonts w:asciiTheme="majorHAnsi" w:hAnsiTheme="majorHAnsi" w:cs="Arial"/>
                          <w:sz w:val="18"/>
                          <w:szCs w:val="18"/>
                          <w:lang w:val="tr-TR"/>
                        </w:rPr>
                        <w:t xml:space="preserve">Bilindiği üzere giyim grubunda Ekim ayında gıda grubunda olduğu gibi kış sezonu ürünleri sepete dahil edilmektedir. </w:t>
                      </w:r>
                      <w:r w:rsidRPr="00C87DCE">
                        <w:rPr>
                          <w:rFonts w:asciiTheme="majorHAnsi" w:hAnsiTheme="majorHAnsi" w:cs="Arial"/>
                          <w:b/>
                          <w:bCs/>
                          <w:sz w:val="18"/>
                          <w:szCs w:val="18"/>
                          <w:lang w:val="tr-TR"/>
                        </w:rPr>
                        <w:t>Dolayısıyla bu ay, her sene en yüksek aylık artışların olması sebebiyle önem arz etmektedir.</w:t>
                      </w:r>
                      <w:r>
                        <w:rPr>
                          <w:rFonts w:asciiTheme="majorHAnsi" w:hAnsiTheme="majorHAnsi" w:cs="Arial"/>
                          <w:sz w:val="18"/>
                          <w:szCs w:val="18"/>
                          <w:lang w:val="tr-TR"/>
                        </w:rPr>
                        <w:t xml:space="preserve"> Yeni eklenen ürünlerin etkisi ve mevsimsel olmayan ürünlerin de son dönemdeki artış trendini sürdürmesiyle </w:t>
                      </w:r>
                      <w:r w:rsidRPr="004A7990">
                        <w:rPr>
                          <w:rFonts w:asciiTheme="majorHAnsi" w:hAnsiTheme="majorHAnsi" w:cs="Arial"/>
                          <w:b/>
                          <w:bCs/>
                          <w:sz w:val="18"/>
                          <w:szCs w:val="18"/>
                          <w:lang w:val="tr-TR"/>
                        </w:rPr>
                        <w:t>aylık giyim enflasyonunun %13,0 seviyesinde olacağını tahmin etmekteyiz.</w:t>
                      </w:r>
                      <w:r>
                        <w:rPr>
                          <w:rFonts w:asciiTheme="majorHAnsi" w:hAnsiTheme="majorHAnsi" w:cs="Arial"/>
                          <w:sz w:val="18"/>
                          <w:szCs w:val="18"/>
                          <w:lang w:val="tr-TR"/>
                        </w:rPr>
                        <w:t xml:space="preserve"> Bu durum Ekim 2024’te aylık %14,3 artış gösteren giyim grubunun yıllık bazda artışının yavaşlayacağını göstermektedir.</w:t>
                      </w:r>
                    </w:p>
                    <w:p w14:paraId="7D9C6110" w14:textId="77777777" w:rsidR="00C87DCE" w:rsidRDefault="00C87DCE" w:rsidP="00C87DCE">
                      <w:pPr>
                        <w:pStyle w:val="NormalWeb"/>
                        <w:spacing w:before="0" w:beforeAutospacing="0" w:after="120" w:afterAutospacing="0" w:line="228" w:lineRule="auto"/>
                        <w:jc w:val="both"/>
                        <w:rPr>
                          <w:rFonts w:asciiTheme="majorHAnsi" w:hAnsiTheme="majorHAnsi" w:cs="Arial"/>
                          <w:sz w:val="18"/>
                          <w:szCs w:val="18"/>
                          <w:lang w:val="tr-TR"/>
                        </w:rPr>
                      </w:pPr>
                      <w:r w:rsidRPr="00DC1CF5">
                        <w:rPr>
                          <w:rFonts w:asciiTheme="majorHAnsi" w:hAnsiTheme="majorHAnsi" w:cs="Arial"/>
                          <w:sz w:val="18"/>
                          <w:szCs w:val="18"/>
                          <w:lang w:val="tr-TR"/>
                        </w:rPr>
                        <w:t xml:space="preserve">Diğer taraftan </w:t>
                      </w:r>
                      <w:r>
                        <w:rPr>
                          <w:rFonts w:asciiTheme="majorHAnsi" w:hAnsiTheme="majorHAnsi" w:cs="Arial"/>
                          <w:sz w:val="18"/>
                          <w:szCs w:val="18"/>
                          <w:lang w:val="tr-TR"/>
                        </w:rPr>
                        <w:t>enerji grubunun aylık %1,0 artış göstereceğini düşünüyoruz. Grupta akaryakıt fiyatları bir miktar gerilese de büyükşehirlerde TÜFE’ye endekslenen su faturası ve tüp gazda yapılan artış düşüş etkilerini sınırlamıştır.</w:t>
                      </w:r>
                      <w:r w:rsidRPr="00DC1CF5">
                        <w:rPr>
                          <w:rFonts w:asciiTheme="majorHAnsi" w:hAnsiTheme="majorHAnsi" w:cs="Arial"/>
                          <w:sz w:val="18"/>
                          <w:szCs w:val="18"/>
                          <w:lang w:val="tr-TR"/>
                        </w:rPr>
                        <w:t xml:space="preserve"> </w:t>
                      </w:r>
                    </w:p>
                    <w:p w14:paraId="734498E6" w14:textId="77777777" w:rsidR="00C87DCE" w:rsidRPr="00BA24A9" w:rsidRDefault="00C87DCE" w:rsidP="00C87DCE">
                      <w:pPr>
                        <w:pStyle w:val="NormalWeb"/>
                        <w:spacing w:before="0" w:beforeAutospacing="0" w:after="120" w:afterAutospacing="0" w:line="228" w:lineRule="auto"/>
                        <w:jc w:val="both"/>
                        <w:rPr>
                          <w:rFonts w:asciiTheme="majorHAnsi" w:hAnsiTheme="majorHAnsi" w:cs="Arial"/>
                          <w:sz w:val="18"/>
                          <w:szCs w:val="18"/>
                          <w:lang w:val="tr-TR"/>
                        </w:rPr>
                      </w:pPr>
                      <w:r>
                        <w:rPr>
                          <w:rFonts w:asciiTheme="majorHAnsi" w:hAnsiTheme="majorHAnsi" w:cs="Arial"/>
                          <w:sz w:val="18"/>
                          <w:szCs w:val="18"/>
                          <w:lang w:val="tr-TR"/>
                        </w:rPr>
                        <w:t xml:space="preserve">Dayanıklı mal grubuna baktığımızda bu grupta ağırlığıyla önemli bir etki yapan otomobil grubunda son dönemde EURTRY kurundaki artışların yansıtılmasıyla fiyat artışlarının devam ettiğini, </w:t>
                      </w:r>
                      <w:r w:rsidRPr="004A7990">
                        <w:rPr>
                          <w:rFonts w:asciiTheme="majorHAnsi" w:hAnsiTheme="majorHAnsi" w:cs="Arial"/>
                          <w:b/>
                          <w:bCs/>
                          <w:sz w:val="18"/>
                          <w:szCs w:val="18"/>
                          <w:lang w:val="tr-TR"/>
                        </w:rPr>
                        <w:t>otomobil grubu genelinde %2,85 artış</w:t>
                      </w:r>
                      <w:r>
                        <w:rPr>
                          <w:rFonts w:asciiTheme="majorHAnsi" w:hAnsiTheme="majorHAnsi" w:cs="Arial"/>
                          <w:sz w:val="18"/>
                          <w:szCs w:val="18"/>
                          <w:lang w:val="tr-TR"/>
                        </w:rPr>
                        <w:t xml:space="preserve"> olduğunu tahmin ediyoruz. Bunun haricinde mobilya ve beyaz eşyadaki artışlar daha ılımlı kalmaktadır.</w:t>
                      </w:r>
                    </w:p>
                    <w:p w14:paraId="29AA9396" w14:textId="77777777" w:rsidR="00C87DCE" w:rsidRDefault="00C87DCE" w:rsidP="00C87DCE">
                      <w:pPr>
                        <w:pStyle w:val="Default"/>
                        <w:spacing w:after="120" w:line="228" w:lineRule="auto"/>
                        <w:jc w:val="both"/>
                        <w:rPr>
                          <w:rFonts w:asciiTheme="majorHAnsi" w:hAnsiTheme="majorHAnsi"/>
                          <w:sz w:val="18"/>
                          <w:szCs w:val="18"/>
                        </w:rPr>
                      </w:pPr>
                      <w:r>
                        <w:rPr>
                          <w:rFonts w:asciiTheme="majorHAnsi" w:hAnsiTheme="majorHAnsi" w:cs="Arial"/>
                          <w:b/>
                          <w:bCs/>
                          <w:color w:val="0435F9" w:themeColor="accent1"/>
                          <w:sz w:val="18"/>
                          <w:szCs w:val="18"/>
                        </w:rPr>
                        <w:t>Son çeyreğe girerken hizmet enflasyonu aylık bazda yavaşlıyor.</w:t>
                      </w:r>
                      <w:r w:rsidRPr="008847E9">
                        <w:rPr>
                          <w:rFonts w:asciiTheme="majorHAnsi" w:hAnsiTheme="majorHAnsi" w:cs="Arial"/>
                          <w:b/>
                          <w:bCs/>
                          <w:color w:val="0435F9" w:themeColor="accent1"/>
                          <w:sz w:val="18"/>
                          <w:szCs w:val="18"/>
                        </w:rPr>
                        <w:t xml:space="preserve"> </w:t>
                      </w:r>
                    </w:p>
                    <w:p w14:paraId="0FECA7DA" w14:textId="77777777" w:rsidR="00C87DCE" w:rsidRPr="008847E9" w:rsidRDefault="00C87DCE" w:rsidP="00C87DCE">
                      <w:pPr>
                        <w:pStyle w:val="Default"/>
                        <w:spacing w:after="120" w:line="228" w:lineRule="auto"/>
                        <w:jc w:val="both"/>
                        <w:rPr>
                          <w:rFonts w:asciiTheme="majorHAnsi" w:hAnsiTheme="majorHAnsi"/>
                          <w:b/>
                          <w:bCs/>
                          <w:sz w:val="18"/>
                          <w:szCs w:val="18"/>
                        </w:rPr>
                      </w:pPr>
                      <w:r w:rsidRPr="00C87DCE">
                        <w:rPr>
                          <w:rFonts w:asciiTheme="majorHAnsi" w:hAnsiTheme="majorHAnsi"/>
                          <w:b/>
                          <w:bCs/>
                          <w:sz w:val="18"/>
                          <w:szCs w:val="18"/>
                        </w:rPr>
                        <w:t>Ekim ayında aylık hizmet enflasyonunun %1,9 olacağını tahmin ediyoruz.</w:t>
                      </w:r>
                      <w:r>
                        <w:rPr>
                          <w:rFonts w:asciiTheme="majorHAnsi" w:hAnsiTheme="majorHAnsi"/>
                          <w:sz w:val="18"/>
                          <w:szCs w:val="18"/>
                        </w:rPr>
                        <w:t xml:space="preserve"> Bu durum, geçtiğimiz yılın Ekim ayına göre benzer oranda bir artışa işaret etse de Eylül ayındaki yoğun fiyat artışlarının ardından son çeyrekte mevsimsel olarak hizmet enflasyonunun yavaşlayacağını göstermektedir. </w:t>
                      </w:r>
                      <w:r w:rsidRPr="00C87DCE">
                        <w:rPr>
                          <w:rFonts w:asciiTheme="majorHAnsi" w:hAnsiTheme="majorHAnsi"/>
                          <w:b/>
                          <w:bCs/>
                          <w:sz w:val="18"/>
                          <w:szCs w:val="18"/>
                        </w:rPr>
                        <w:t>Kira enflasyonu Eylül ayındaki yüksek sözleşme yenileme oranlarına rağmen aylık bazda yavaşlamıştır.</w:t>
                      </w:r>
                      <w:r>
                        <w:rPr>
                          <w:rFonts w:asciiTheme="majorHAnsi" w:hAnsiTheme="majorHAnsi"/>
                          <w:sz w:val="18"/>
                          <w:szCs w:val="18"/>
                        </w:rPr>
                        <w:t xml:space="preserve"> Bu durum bize mevsimsel düzeltilmiş verilerden de anlaşılacağı üzere kira enflasyonunda iyileşmeye işaret etmektedir. </w:t>
                      </w:r>
                      <w:r w:rsidRPr="00C87DCE">
                        <w:rPr>
                          <w:rFonts w:asciiTheme="majorHAnsi" w:hAnsiTheme="majorHAnsi"/>
                          <w:b/>
                          <w:bCs/>
                          <w:sz w:val="18"/>
                          <w:szCs w:val="18"/>
                        </w:rPr>
                        <w:t>Ekim ayında da bu yavaşlamanın sürmesini ve aylık kira enflasyonunun %3,5 seviyesinde gerçekleşerek yıllık bazda düşüşüne devam etmesini bekliyoruz.</w:t>
                      </w:r>
                      <w:r>
                        <w:rPr>
                          <w:rFonts w:asciiTheme="majorHAnsi" w:hAnsiTheme="majorHAnsi"/>
                          <w:sz w:val="18"/>
                          <w:szCs w:val="18"/>
                        </w:rPr>
                        <w:t xml:space="preserve"> Lokanta ve otel grubunda sezonun bitmesiyle otel fiyatlarının gerilediğini, lokanta fiyatlarının ise ılımlı arttığını takip ettik. Ulaştırma hizmetleri grubunda ise geçtiğimiz ay yapılan toplu taşıma zamlarının bir kısmının bu aya sarktığını, şehirlerarası otobüs bileti ve uçak bileti gibi maddelerde fiyatların gerilemeye devam ettiğini söylemek mümkün.</w:t>
                      </w:r>
                    </w:p>
                    <w:p w14:paraId="04F01F2E" w14:textId="77777777" w:rsidR="00C87DCE" w:rsidRDefault="00C87DCE" w:rsidP="00C87DCE">
                      <w:pPr>
                        <w:pStyle w:val="Default"/>
                        <w:spacing w:after="120" w:line="228" w:lineRule="auto"/>
                        <w:jc w:val="both"/>
                        <w:rPr>
                          <w:rFonts w:asciiTheme="majorHAnsi" w:hAnsiTheme="majorHAnsi"/>
                          <w:b/>
                          <w:color w:val="0435F9" w:themeColor="accent1"/>
                          <w:sz w:val="18"/>
                          <w:szCs w:val="18"/>
                        </w:rPr>
                      </w:pPr>
                      <w:r>
                        <w:rPr>
                          <w:rFonts w:asciiTheme="majorHAnsi" w:hAnsiTheme="majorHAnsi"/>
                          <w:b/>
                          <w:color w:val="0435F9" w:themeColor="accent1"/>
                          <w:sz w:val="18"/>
                          <w:szCs w:val="18"/>
                        </w:rPr>
                        <w:t>Enflasyon ana eğiliminde kayda değer bir iyileşme beklemiyoruz.</w:t>
                      </w:r>
                    </w:p>
                    <w:p w14:paraId="0AE8D80B" w14:textId="5601DB05" w:rsidR="00C87DCE" w:rsidRPr="00C87DCE" w:rsidRDefault="00C87DCE" w:rsidP="00C87DCE">
                      <w:pPr>
                        <w:pStyle w:val="Default"/>
                        <w:spacing w:after="120" w:line="228" w:lineRule="auto"/>
                        <w:jc w:val="both"/>
                        <w:rPr>
                          <w:rFonts w:asciiTheme="majorHAnsi" w:hAnsiTheme="majorHAnsi"/>
                          <w:b/>
                          <w:bCs/>
                          <w:sz w:val="18"/>
                          <w:szCs w:val="18"/>
                        </w:rPr>
                      </w:pPr>
                      <w:r>
                        <w:rPr>
                          <w:rFonts w:asciiTheme="majorHAnsi" w:hAnsiTheme="majorHAnsi"/>
                          <w:sz w:val="18"/>
                          <w:szCs w:val="18"/>
                        </w:rPr>
                        <w:t xml:space="preserve">Merkez Bankası, Eylül ayında enflasyonun ana eğiliminin yükseldiği yönlendirmesini yapmıştı. Keza, mevsimsel düzeltilmiş enflasyon %2,7 ile oldukça yüksek seviyede gerçekleşmişti. </w:t>
                      </w:r>
                      <w:r w:rsidRPr="00C87DCE">
                        <w:rPr>
                          <w:rFonts w:asciiTheme="majorHAnsi" w:hAnsiTheme="majorHAnsi"/>
                          <w:b/>
                          <w:bCs/>
                          <w:sz w:val="18"/>
                          <w:szCs w:val="18"/>
                        </w:rPr>
                        <w:t>%2,9 aylık tahminimize göre mevsimsel düzeltilmiş verinin %2,4 civarına yavaşlayacağını tahmin etsek de henüz kayda değer bir iyileşmenin gerçekleşmediğini düşünüyoruz.</w:t>
                      </w:r>
                    </w:p>
                    <w:bookmarkEnd w:id="11"/>
                    <w:p w14:paraId="2568B8F1" w14:textId="77777777" w:rsidR="00683CAB" w:rsidRDefault="00683CAB" w:rsidP="008905C2">
                      <w:pPr>
                        <w:pStyle w:val="Default"/>
                        <w:spacing w:after="120"/>
                        <w:jc w:val="both"/>
                        <w:rPr>
                          <w:rFonts w:asciiTheme="majorHAnsi" w:hAnsiTheme="majorHAnsi"/>
                          <w:b/>
                          <w:bCs/>
                          <w:sz w:val="18"/>
                          <w:szCs w:val="18"/>
                        </w:rPr>
                      </w:pPr>
                    </w:p>
                    <w:p w14:paraId="5F62BAB4" w14:textId="69A17915" w:rsidR="00261B4A" w:rsidRDefault="00261B4A" w:rsidP="006C3BD5">
                      <w:pPr>
                        <w:pStyle w:val="Default"/>
                        <w:jc w:val="both"/>
                        <w:rPr>
                          <w:rFonts w:asciiTheme="majorHAnsi" w:hAnsiTheme="majorHAnsi"/>
                          <w:b/>
                          <w:bCs/>
                          <w:sz w:val="18"/>
                          <w:szCs w:val="18"/>
                        </w:rPr>
                      </w:pPr>
                    </w:p>
                    <w:p w14:paraId="72AF17D5" w14:textId="77777777" w:rsidR="00261B4A" w:rsidRPr="00064949" w:rsidRDefault="00261B4A" w:rsidP="006C3BD5">
                      <w:pPr>
                        <w:pStyle w:val="Default"/>
                        <w:jc w:val="both"/>
                        <w:rPr>
                          <w:rFonts w:asciiTheme="majorHAnsi" w:hAnsiTheme="majorHAnsi"/>
                          <w:b/>
                          <w:bCs/>
                          <w:sz w:val="19"/>
                          <w:szCs w:val="19"/>
                        </w:rPr>
                      </w:pPr>
                    </w:p>
                    <w:p w14:paraId="7982D942" w14:textId="722F994C" w:rsidR="00157EE8" w:rsidRDefault="00157EE8" w:rsidP="00A86ED7">
                      <w:pPr>
                        <w:spacing w:after="240" w:line="245" w:lineRule="auto"/>
                        <w:jc w:val="both"/>
                        <w:rPr>
                          <w:rFonts w:asciiTheme="majorHAnsi" w:hAnsiTheme="majorHAnsi"/>
                          <w:b/>
                          <w:bCs/>
                          <w:sz w:val="19"/>
                          <w:szCs w:val="19"/>
                        </w:rPr>
                      </w:pPr>
                    </w:p>
                    <w:bookmarkEnd w:id="12"/>
                    <w:bookmarkEnd w:id="13"/>
                    <w:bookmarkEnd w:id="14"/>
                    <w:bookmarkEnd w:id="15"/>
                    <w:p w14:paraId="2718FF8F" w14:textId="77777777" w:rsidR="00157EE8" w:rsidRPr="00B109A4" w:rsidRDefault="00157EE8" w:rsidP="00A86ED7">
                      <w:pPr>
                        <w:spacing w:after="240" w:line="245" w:lineRule="auto"/>
                        <w:jc w:val="both"/>
                        <w:rPr>
                          <w:rFonts w:asciiTheme="majorHAnsi" w:hAnsiTheme="majorHAnsi"/>
                          <w:b/>
                          <w:bCs/>
                          <w:sz w:val="19"/>
                          <w:szCs w:val="19"/>
                        </w:rPr>
                      </w:pPr>
                    </w:p>
                  </w:txbxContent>
                </v:textbox>
                <w10:wrap anchorx="margin"/>
              </v:shape>
            </w:pict>
          </mc:Fallback>
        </mc:AlternateContent>
      </w:r>
      <w:r w:rsidR="00EF544A">
        <w:rPr>
          <w:noProof/>
          <w:lang w:eastAsia="tr-TR"/>
        </w:rPr>
        <mc:AlternateContent>
          <mc:Choice Requires="wps">
            <w:drawing>
              <wp:anchor distT="0" distB="0" distL="114300" distR="114300" simplePos="0" relativeHeight="251661312" behindDoc="0" locked="0" layoutInCell="1" allowOverlap="1" wp14:anchorId="4300BF01" wp14:editId="0B979F2A">
                <wp:simplePos x="0" y="0"/>
                <wp:positionH relativeFrom="margin">
                  <wp:posOffset>5588000</wp:posOffset>
                </wp:positionH>
                <wp:positionV relativeFrom="paragraph">
                  <wp:posOffset>-342265</wp:posOffset>
                </wp:positionV>
                <wp:extent cx="1572260" cy="347980"/>
                <wp:effectExtent l="0" t="0" r="0" b="0"/>
                <wp:wrapNone/>
                <wp:docPr id="13" name="Metin Kutusu 13"/>
                <wp:cNvGraphicFramePr/>
                <a:graphic xmlns:a="http://schemas.openxmlformats.org/drawingml/2006/main">
                  <a:graphicData uri="http://schemas.microsoft.com/office/word/2010/wordprocessingShape">
                    <wps:wsp>
                      <wps:cNvSpPr txBox="1"/>
                      <wps:spPr>
                        <a:xfrm>
                          <a:off x="0" y="0"/>
                          <a:ext cx="1572260" cy="347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0B3F84" w14:textId="37AC8706" w:rsidR="00FA055D" w:rsidRPr="00CC7F51" w:rsidRDefault="00FA055D" w:rsidP="005E4F7F">
                            <w:pPr>
                              <w:ind w:right="6"/>
                              <w:jc w:val="right"/>
                              <w:rPr>
                                <w:rFonts w:ascii="Calibri" w:hAnsi="Calibri"/>
                                <w:b/>
                                <w:color w:val="FFFFFF" w:themeColor="background1"/>
                                <w:sz w:val="26"/>
                                <w:szCs w:val="26"/>
                              </w:rPr>
                            </w:pPr>
                            <w:r w:rsidRPr="00CC7F51">
                              <w:rPr>
                                <w:rFonts w:ascii="Calibri" w:hAnsi="Calibri"/>
                                <w:b/>
                                <w:color w:val="011979" w:themeColor="accent2"/>
                                <w:sz w:val="26"/>
                                <w:szCs w:val="26"/>
                              </w:rPr>
                              <w:t xml:space="preserve"> </w:t>
                            </w:r>
                            <w:r w:rsidRPr="00CC7F51">
                              <w:rPr>
                                <w:rFonts w:ascii="Calibri" w:hAnsi="Calibri"/>
                                <w:b/>
                                <w:color w:val="011979" w:themeColor="accent2"/>
                                <w:sz w:val="26"/>
                                <w:szCs w:val="26"/>
                              </w:rPr>
                              <w:fldChar w:fldCharType="begin"/>
                            </w:r>
                            <w:r w:rsidRPr="00CC7F51">
                              <w:rPr>
                                <w:rFonts w:ascii="Calibri" w:hAnsi="Calibri"/>
                                <w:b/>
                                <w:color w:val="011979" w:themeColor="accent2"/>
                                <w:sz w:val="26"/>
                                <w:szCs w:val="26"/>
                              </w:rPr>
                              <w:instrText xml:space="preserve"> TIME \@ "d MMMM yyyy" </w:instrText>
                            </w:r>
                            <w:r w:rsidRPr="00CC7F51">
                              <w:rPr>
                                <w:rFonts w:ascii="Calibri" w:hAnsi="Calibri"/>
                                <w:b/>
                                <w:color w:val="011979" w:themeColor="accent2"/>
                                <w:sz w:val="26"/>
                                <w:szCs w:val="26"/>
                              </w:rPr>
                              <w:fldChar w:fldCharType="separate"/>
                            </w:r>
                            <w:r w:rsidR="00A23759">
                              <w:rPr>
                                <w:rFonts w:ascii="Calibri" w:hAnsi="Calibri"/>
                                <w:b/>
                                <w:noProof/>
                                <w:color w:val="011979" w:themeColor="accent2"/>
                                <w:sz w:val="26"/>
                                <w:szCs w:val="26"/>
                              </w:rPr>
                              <w:t>28 Ekim 2025</w:t>
                            </w:r>
                            <w:r w:rsidRPr="00CC7F51">
                              <w:rPr>
                                <w:rFonts w:ascii="IBM Plex Sans" w:hAnsi="IBM Plex Sans"/>
                                <w:b/>
                                <w:color w:val="011979" w:themeColor="accent2"/>
                                <w:sz w:val="26"/>
                                <w:szCs w:val="2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0BF01" id="Metin Kutusu 13" o:spid="_x0000_s1027" type="#_x0000_t202" style="position:absolute;margin-left:440pt;margin-top:-26.95pt;width:123.8pt;height:27.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" filled="f" stroked="f" strokeweight=".5pt">
                <v:textbox>
                  <w:txbxContent>
                    <w:p w14:paraId="200B3F84" w14:textId="37AC8706" w:rsidR="00FA055D" w:rsidRPr="00CC7F51" w:rsidRDefault="00FA055D" w:rsidP="005E4F7F">
                      <w:pPr>
                        <w:ind w:right="6"/>
                        <w:jc w:val="right"/>
                        <w:rPr>
                          <w:rFonts w:ascii="Calibri" w:hAnsi="Calibri"/>
                          <w:b/>
                          <w:color w:val="FFFFFF" w:themeColor="background1"/>
                          <w:sz w:val="26"/>
                          <w:szCs w:val="26"/>
                        </w:rPr>
                      </w:pPr>
                      <w:r w:rsidRPr="00CC7F51">
                        <w:rPr>
                          <w:rFonts w:ascii="Calibri" w:hAnsi="Calibri"/>
                          <w:b/>
                          <w:color w:val="011979" w:themeColor="accent2"/>
                          <w:sz w:val="26"/>
                          <w:szCs w:val="26"/>
                        </w:rPr>
                        <w:t xml:space="preserve"> </w:t>
                      </w:r>
                      <w:r w:rsidRPr="00CC7F51">
                        <w:rPr>
                          <w:rFonts w:ascii="Calibri" w:hAnsi="Calibri"/>
                          <w:b/>
                          <w:color w:val="011979" w:themeColor="accent2"/>
                          <w:sz w:val="26"/>
                          <w:szCs w:val="26"/>
                        </w:rPr>
                        <w:fldChar w:fldCharType="begin"/>
                      </w:r>
                      <w:r w:rsidRPr="00CC7F51">
                        <w:rPr>
                          <w:rFonts w:ascii="Calibri" w:hAnsi="Calibri"/>
                          <w:b/>
                          <w:color w:val="011979" w:themeColor="accent2"/>
                          <w:sz w:val="26"/>
                          <w:szCs w:val="26"/>
                        </w:rPr>
                        <w:instrText xml:space="preserve"> TIME \@ "d MMMM yyyy" </w:instrText>
                      </w:r>
                      <w:r w:rsidRPr="00CC7F51">
                        <w:rPr>
                          <w:rFonts w:ascii="Calibri" w:hAnsi="Calibri"/>
                          <w:b/>
                          <w:color w:val="011979" w:themeColor="accent2"/>
                          <w:sz w:val="26"/>
                          <w:szCs w:val="26"/>
                        </w:rPr>
                        <w:fldChar w:fldCharType="separate"/>
                      </w:r>
                      <w:r w:rsidR="00A23759">
                        <w:rPr>
                          <w:rFonts w:ascii="Calibri" w:hAnsi="Calibri"/>
                          <w:b/>
                          <w:noProof/>
                          <w:color w:val="011979" w:themeColor="accent2"/>
                          <w:sz w:val="26"/>
                          <w:szCs w:val="26"/>
                        </w:rPr>
                        <w:t>28 Ekim 2025</w:t>
                      </w:r>
                      <w:r w:rsidRPr="00CC7F51">
                        <w:rPr>
                          <w:rFonts w:ascii="IBM Plex Sans" w:hAnsi="IBM Plex Sans"/>
                          <w:b/>
                          <w:color w:val="011979" w:themeColor="accent2"/>
                          <w:sz w:val="26"/>
                          <w:szCs w:val="26"/>
                        </w:rPr>
                        <w:fldChar w:fldCharType="end"/>
                      </w:r>
                    </w:p>
                  </w:txbxContent>
                </v:textbox>
                <w10:wrap anchorx="margin"/>
              </v:shape>
            </w:pict>
          </mc:Fallback>
        </mc:AlternateContent>
      </w:r>
      <w:r w:rsidR="004A29A1">
        <w:rPr>
          <w:noProof/>
          <w:lang w:eastAsia="tr-TR"/>
        </w:rPr>
        <mc:AlternateContent>
          <mc:Choice Requires="wps">
            <w:drawing>
              <wp:anchor distT="0" distB="0" distL="114300" distR="114300" simplePos="0" relativeHeight="251674624" behindDoc="0" locked="0" layoutInCell="1" allowOverlap="1" wp14:anchorId="035E767C" wp14:editId="1652AB22">
                <wp:simplePos x="0" y="0"/>
                <wp:positionH relativeFrom="page">
                  <wp:align>right</wp:align>
                </wp:positionH>
                <wp:positionV relativeFrom="paragraph">
                  <wp:posOffset>48260</wp:posOffset>
                </wp:positionV>
                <wp:extent cx="3152775" cy="7042150"/>
                <wp:effectExtent l="0" t="0" r="0" b="0"/>
                <wp:wrapNone/>
                <wp:docPr id="2" name="Metin Kutusu 2"/>
                <wp:cNvGraphicFramePr/>
                <a:graphic xmlns:a="http://schemas.openxmlformats.org/drawingml/2006/main">
                  <a:graphicData uri="http://schemas.microsoft.com/office/word/2010/wordprocessingShape">
                    <wps:wsp>
                      <wps:cNvSpPr txBox="1"/>
                      <wps:spPr>
                        <a:xfrm>
                          <a:off x="0" y="0"/>
                          <a:ext cx="3152775" cy="7042150"/>
                        </a:xfrm>
                        <a:prstGeom prst="rect">
                          <a:avLst/>
                        </a:prstGeom>
                        <a:noFill/>
                        <a:ln w="6350">
                          <a:noFill/>
                        </a:ln>
                      </wps:spPr>
                      <wps:txbx>
                        <w:txbxContent>
                          <w:tbl>
                            <w:tblPr>
                              <w:tblStyle w:val="TabloKlavuzu1"/>
                              <w:tblW w:w="0" w:type="auto"/>
                              <w:tblBorders>
                                <w:top w:val="none" w:sz="0" w:space="0" w:color="auto"/>
                                <w:left w:val="none" w:sz="0" w:space="0" w:color="auto"/>
                                <w:bottom w:val="single" w:sz="12" w:space="0" w:color="00938F"/>
                                <w:right w:val="none" w:sz="0" w:space="0" w:color="auto"/>
                                <w:insideH w:val="none" w:sz="0" w:space="0" w:color="auto"/>
                                <w:insideV w:val="none" w:sz="0" w:space="0" w:color="auto"/>
                              </w:tblBorders>
                              <w:tblLayout w:type="fixed"/>
                              <w:tblLook w:val="04A0" w:firstRow="1" w:lastRow="0" w:firstColumn="1" w:lastColumn="0" w:noHBand="0" w:noVBand="1"/>
                            </w:tblPr>
                            <w:tblGrid>
                              <w:gridCol w:w="4678"/>
                            </w:tblGrid>
                            <w:tr w:rsidR="00936F48" w:rsidRPr="003814E1" w14:paraId="50809E8B" w14:textId="77777777" w:rsidTr="00010D6F">
                              <w:trPr>
                                <w:cantSplit/>
                                <w:trHeight w:hRule="exact" w:val="426"/>
                              </w:trPr>
                              <w:tc>
                                <w:tcPr>
                                  <w:tcW w:w="4678" w:type="dxa"/>
                                  <w:shd w:val="clear" w:color="auto" w:fill="0435F9" w:themeFill="accent1"/>
                                  <w:vAlign w:val="center"/>
                                </w:tcPr>
                                <w:p w14:paraId="5955ED62" w14:textId="7B8926ED" w:rsidR="00936F48" w:rsidRPr="00936F48" w:rsidRDefault="00936F48" w:rsidP="007E6234">
                                  <w:pPr>
                                    <w:spacing w:line="216" w:lineRule="auto"/>
                                    <w:rPr>
                                      <w:rFonts w:asciiTheme="majorHAnsi" w:hAnsiTheme="majorHAnsi"/>
                                      <w:bCs/>
                                      <w:sz w:val="18"/>
                                      <w:szCs w:val="18"/>
                                      <w:lang w:val="tr-TR"/>
                                    </w:rPr>
                                  </w:pPr>
                                  <w:r w:rsidRPr="007E6234">
                                    <w:rPr>
                                      <w:rFonts w:asciiTheme="majorHAnsi" w:eastAsia="Times New Roman" w:hAnsiTheme="majorHAnsi"/>
                                      <w:b/>
                                      <w:color w:val="FFFFFF"/>
                                      <w:sz w:val="17"/>
                                      <w:szCs w:val="17"/>
                                      <w:lang w:val="tr-TR"/>
                                    </w:rPr>
                                    <w:t xml:space="preserve">Grafik 1: </w:t>
                                  </w:r>
                                  <w:r w:rsidR="009C5BEA">
                                    <w:rPr>
                                      <w:rFonts w:asciiTheme="majorHAnsi" w:eastAsia="Times New Roman" w:hAnsiTheme="majorHAnsi"/>
                                      <w:b/>
                                      <w:color w:val="FFFFFF"/>
                                      <w:sz w:val="17"/>
                                      <w:szCs w:val="17"/>
                                      <w:lang w:val="tr-TR"/>
                                    </w:rPr>
                                    <w:t>Web TÜFE Ana Gruplar Artış Oranları (%)</w:t>
                                  </w:r>
                                  <w:r w:rsidR="00010D6F">
                                    <w:rPr>
                                      <w:rFonts w:asciiTheme="majorHAnsi" w:eastAsia="Times New Roman" w:hAnsiTheme="majorHAnsi"/>
                                      <w:b/>
                                      <w:color w:val="FFFFFF"/>
                                      <w:sz w:val="17"/>
                                      <w:szCs w:val="17"/>
                                      <w:lang w:val="tr-TR"/>
                                    </w:rPr>
                                    <w:t xml:space="preserve"> – </w:t>
                                  </w:r>
                                  <w:r w:rsidR="009C5BEA">
                                    <w:rPr>
                                      <w:rFonts w:asciiTheme="majorHAnsi" w:eastAsia="Times New Roman" w:hAnsiTheme="majorHAnsi"/>
                                      <w:b/>
                                      <w:color w:val="FFFFFF"/>
                                      <w:sz w:val="17"/>
                                      <w:szCs w:val="17"/>
                                      <w:lang w:val="tr-TR"/>
                                    </w:rPr>
                                    <w:t>Ekim 2025</w:t>
                                  </w:r>
                                </w:p>
                              </w:tc>
                            </w:tr>
                            <w:tr w:rsidR="00936F48" w:rsidRPr="003814E1" w14:paraId="03C30249" w14:textId="77777777" w:rsidTr="00D57242">
                              <w:tblPrEx>
                                <w:tblCellMar>
                                  <w:left w:w="70" w:type="dxa"/>
                                  <w:right w:w="70" w:type="dxa"/>
                                </w:tblCellMar>
                              </w:tblPrEx>
                              <w:trPr>
                                <w:cantSplit/>
                                <w:trHeight w:hRule="exact" w:val="3400"/>
                              </w:trPr>
                              <w:tc>
                                <w:tcPr>
                                  <w:tcW w:w="4678" w:type="dxa"/>
                                  <w:tcBorders>
                                    <w:bottom w:val="single" w:sz="12" w:space="0" w:color="0435F9" w:themeColor="accent1"/>
                                  </w:tcBorders>
                                </w:tcPr>
                                <w:p w14:paraId="0FE45CBC" w14:textId="78367D77" w:rsidR="00010D6F" w:rsidRDefault="009C5BEA" w:rsidP="00010D6F">
                                  <w:pPr>
                                    <w:spacing w:after="0"/>
                                    <w:ind w:left="34"/>
                                    <w:jc w:val="right"/>
                                    <w:rPr>
                                      <w:noProof/>
                                    </w:rPr>
                                  </w:pPr>
                                  <w:r w:rsidRPr="009C5BEA">
                                    <w:rPr>
                                      <w:rFonts w:asciiTheme="majorHAnsi" w:hAnsiTheme="majorHAnsi"/>
                                      <w:b/>
                                      <w:bCs/>
                                      <w:noProof/>
                                      <w:sz w:val="16"/>
                                      <w:szCs w:val="16"/>
                                    </w:rPr>
                                    <w:drawing>
                                      <wp:inline distT="0" distB="0" distL="0" distR="0" wp14:anchorId="1249C2C8" wp14:editId="1FE03AA5">
                                        <wp:extent cx="2876550" cy="1727200"/>
                                        <wp:effectExtent l="0" t="0" r="0" b="635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550" cy="1727200"/>
                                                </a:xfrm>
                                                <a:prstGeom prst="rect">
                                                  <a:avLst/>
                                                </a:prstGeom>
                                                <a:noFill/>
                                                <a:ln>
                                                  <a:noFill/>
                                                </a:ln>
                                              </pic:spPr>
                                            </pic:pic>
                                          </a:graphicData>
                                        </a:graphic>
                                      </wp:inline>
                                    </w:drawing>
                                  </w:r>
                                  <w:r w:rsidR="00936F48" w:rsidRPr="0043178A">
                                    <w:rPr>
                                      <w:rFonts w:asciiTheme="majorHAnsi" w:hAnsiTheme="majorHAnsi"/>
                                      <w:b/>
                                      <w:bCs/>
                                      <w:sz w:val="16"/>
                                      <w:szCs w:val="16"/>
                                      <w:lang w:val="tr-TR"/>
                                    </w:rPr>
                                    <w:t xml:space="preserve"> </w:t>
                                  </w:r>
                                </w:p>
                                <w:p w14:paraId="65497763" w14:textId="6D88C152" w:rsidR="00010D6F" w:rsidRDefault="00936F48" w:rsidP="00010D6F">
                                  <w:pPr>
                                    <w:spacing w:after="0"/>
                                    <w:ind w:left="63"/>
                                    <w:jc w:val="right"/>
                                    <w:rPr>
                                      <w:rFonts w:asciiTheme="majorHAnsi" w:hAnsiTheme="majorHAnsi"/>
                                      <w:bCs/>
                                      <w:sz w:val="16"/>
                                      <w:szCs w:val="16"/>
                                      <w:lang w:val="tr-TR"/>
                                    </w:rPr>
                                  </w:pPr>
                                  <w:r>
                                    <w:rPr>
                                      <w:rFonts w:asciiTheme="majorHAnsi" w:hAnsiTheme="majorHAnsi"/>
                                      <w:b/>
                                      <w:bCs/>
                                      <w:sz w:val="16"/>
                                      <w:szCs w:val="16"/>
                                      <w:lang w:val="tr-TR"/>
                                    </w:rPr>
                                    <w:t>Kaynak</w:t>
                                  </w:r>
                                  <w:r w:rsidRPr="009A6B56">
                                    <w:rPr>
                                      <w:rFonts w:asciiTheme="majorHAnsi" w:hAnsiTheme="majorHAnsi"/>
                                      <w:bCs/>
                                      <w:sz w:val="16"/>
                                      <w:szCs w:val="16"/>
                                      <w:lang w:val="tr-TR"/>
                                    </w:rPr>
                                    <w:t xml:space="preserve">: </w:t>
                                  </w:r>
                                  <w:r w:rsidR="00010D6F">
                                    <w:rPr>
                                      <w:rFonts w:asciiTheme="majorHAnsi" w:hAnsiTheme="majorHAnsi"/>
                                      <w:bCs/>
                                      <w:sz w:val="16"/>
                                      <w:szCs w:val="16"/>
                                      <w:lang w:val="tr-TR"/>
                                    </w:rPr>
                                    <w:t xml:space="preserve">Gedik </w:t>
                                  </w:r>
                                  <w:r w:rsidR="00211223">
                                    <w:rPr>
                                      <w:rFonts w:asciiTheme="majorHAnsi" w:hAnsiTheme="majorHAnsi"/>
                                      <w:bCs/>
                                      <w:sz w:val="16"/>
                                      <w:szCs w:val="16"/>
                                      <w:lang w:val="tr-TR"/>
                                    </w:rPr>
                                    <w:t>Yatırım Araştırma</w:t>
                                  </w:r>
                                </w:p>
                                <w:p w14:paraId="714F2172" w14:textId="326D45E0" w:rsidR="00936F48" w:rsidRPr="00FB5581" w:rsidRDefault="00936F48" w:rsidP="00010D6F">
                                  <w:pPr>
                                    <w:spacing w:after="0"/>
                                    <w:ind w:left="62"/>
                                    <w:jc w:val="right"/>
                                    <w:rPr>
                                      <w:rFonts w:ascii="Arial" w:hAnsi="Arial"/>
                                      <w:bCs/>
                                      <w:noProof/>
                                      <w:lang w:val="tr-TR"/>
                                    </w:rPr>
                                  </w:pPr>
                                </w:p>
                              </w:tc>
                            </w:tr>
                            <w:tr w:rsidR="00936F48" w:rsidRPr="003814E1" w14:paraId="60AB84A2" w14:textId="77777777" w:rsidTr="00604A15">
                              <w:trPr>
                                <w:cantSplit/>
                                <w:trHeight w:hRule="exact" w:val="452"/>
                              </w:trPr>
                              <w:tc>
                                <w:tcPr>
                                  <w:tcW w:w="4678" w:type="dxa"/>
                                  <w:shd w:val="clear" w:color="auto" w:fill="0435F9" w:themeFill="accent1"/>
                                  <w:vAlign w:val="center"/>
                                </w:tcPr>
                                <w:p w14:paraId="6B3B6556" w14:textId="3B7873A7" w:rsidR="00936F48" w:rsidRPr="007E6234" w:rsidRDefault="00936F48" w:rsidP="00936F48">
                                  <w:pPr>
                                    <w:spacing w:line="216" w:lineRule="auto"/>
                                    <w:rPr>
                                      <w:rFonts w:asciiTheme="majorHAnsi" w:eastAsia="Times New Roman" w:hAnsiTheme="majorHAnsi"/>
                                      <w:b/>
                                      <w:color w:val="FFFFFF"/>
                                      <w:sz w:val="17"/>
                                      <w:szCs w:val="17"/>
                                      <w:lang w:val="tr-TR"/>
                                    </w:rPr>
                                  </w:pPr>
                                  <w:r w:rsidRPr="007E6234">
                                    <w:rPr>
                                      <w:rFonts w:asciiTheme="majorHAnsi" w:eastAsia="Times New Roman" w:hAnsiTheme="majorHAnsi"/>
                                      <w:b/>
                                      <w:color w:val="FFFFFF"/>
                                      <w:sz w:val="17"/>
                                      <w:szCs w:val="17"/>
                                      <w:lang w:val="tr-TR"/>
                                    </w:rPr>
                                    <w:t xml:space="preserve">Grafik 2: </w:t>
                                  </w:r>
                                  <w:r w:rsidR="00D57242">
                                    <w:rPr>
                                      <w:rFonts w:asciiTheme="majorHAnsi" w:eastAsia="Times New Roman" w:hAnsiTheme="majorHAnsi"/>
                                      <w:b/>
                                      <w:color w:val="FFFFFF"/>
                                      <w:sz w:val="17"/>
                                      <w:szCs w:val="17"/>
                                      <w:lang w:val="tr-TR"/>
                                    </w:rPr>
                                    <w:t xml:space="preserve">Web TÜFE-TÜİK TÜFE Karşılaştırması </w:t>
                                  </w:r>
                                  <w:r w:rsidR="00A23759">
                                    <w:rPr>
                                      <w:rFonts w:asciiTheme="majorHAnsi" w:eastAsia="Times New Roman" w:hAnsiTheme="majorHAnsi"/>
                                      <w:b/>
                                      <w:color w:val="FFFFFF"/>
                                      <w:sz w:val="17"/>
                                      <w:szCs w:val="17"/>
                                      <w:lang w:val="tr-TR"/>
                                    </w:rPr>
                                    <w:t xml:space="preserve">         </w:t>
                                  </w:r>
                                  <w:r w:rsidR="00D57242">
                                    <w:rPr>
                                      <w:rFonts w:asciiTheme="majorHAnsi" w:eastAsia="Times New Roman" w:hAnsiTheme="majorHAnsi"/>
                                      <w:b/>
                                      <w:color w:val="FFFFFF"/>
                                      <w:sz w:val="17"/>
                                      <w:szCs w:val="17"/>
                                      <w:lang w:val="tr-TR"/>
                                    </w:rPr>
                                    <w:t>2025</w:t>
                                  </w:r>
                                  <w:r w:rsidR="00A23759">
                                    <w:rPr>
                                      <w:rFonts w:asciiTheme="majorHAnsi" w:eastAsia="Times New Roman" w:hAnsiTheme="majorHAnsi"/>
                                      <w:b/>
                                      <w:color w:val="FFFFFF"/>
                                      <w:sz w:val="17"/>
                                      <w:szCs w:val="17"/>
                                      <w:lang w:val="tr-TR"/>
                                    </w:rPr>
                                    <w:t xml:space="preserve"> başından itibaren</w:t>
                                  </w:r>
                                </w:p>
                              </w:tc>
                            </w:tr>
                            <w:tr w:rsidR="00936F48" w:rsidRPr="003814E1" w14:paraId="3F90170B" w14:textId="77777777" w:rsidTr="009C5BEA">
                              <w:tblPrEx>
                                <w:tblCellMar>
                                  <w:left w:w="70" w:type="dxa"/>
                                  <w:right w:w="70" w:type="dxa"/>
                                </w:tblCellMar>
                              </w:tblPrEx>
                              <w:trPr>
                                <w:cantSplit/>
                                <w:trHeight w:hRule="exact" w:val="3227"/>
                              </w:trPr>
                              <w:tc>
                                <w:tcPr>
                                  <w:tcW w:w="4678" w:type="dxa"/>
                                  <w:tcBorders>
                                    <w:bottom w:val="single" w:sz="12" w:space="0" w:color="0435F9" w:themeColor="accent1"/>
                                  </w:tcBorders>
                                </w:tcPr>
                                <w:p w14:paraId="2F0C2660" w14:textId="30A514A1" w:rsidR="00936F48" w:rsidRDefault="00D57242" w:rsidP="001028F5">
                                  <w:pPr>
                                    <w:spacing w:after="0"/>
                                    <w:jc w:val="center"/>
                                    <w:rPr>
                                      <w:rFonts w:asciiTheme="majorHAnsi" w:hAnsiTheme="majorHAnsi"/>
                                      <w:b/>
                                      <w:bCs/>
                                      <w:sz w:val="16"/>
                                      <w:szCs w:val="16"/>
                                      <w:lang w:val="tr-TR"/>
                                    </w:rPr>
                                  </w:pPr>
                                  <w:r w:rsidRPr="00D57242">
                                    <w:rPr>
                                      <w:rFonts w:asciiTheme="majorHAnsi" w:hAnsiTheme="majorHAnsi"/>
                                      <w:b/>
                                      <w:bCs/>
                                      <w:noProof/>
                                      <w:sz w:val="16"/>
                                      <w:szCs w:val="16"/>
                                    </w:rPr>
                                    <w:drawing>
                                      <wp:inline distT="0" distB="0" distL="0" distR="0" wp14:anchorId="762ADB18" wp14:editId="4B73B2F4">
                                        <wp:extent cx="2876550" cy="1517650"/>
                                        <wp:effectExtent l="0" t="0" r="0" b="635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6550" cy="1517650"/>
                                                </a:xfrm>
                                                <a:prstGeom prst="rect">
                                                  <a:avLst/>
                                                </a:prstGeom>
                                                <a:noFill/>
                                                <a:ln>
                                                  <a:noFill/>
                                                </a:ln>
                                              </pic:spPr>
                                            </pic:pic>
                                          </a:graphicData>
                                        </a:graphic>
                                      </wp:inline>
                                    </w:drawing>
                                  </w:r>
                                </w:p>
                                <w:p w14:paraId="398D3885" w14:textId="0F0D7FB2" w:rsidR="00E47E64" w:rsidRDefault="009B0976" w:rsidP="006B4FFE">
                                  <w:pPr>
                                    <w:spacing w:after="0"/>
                                    <w:ind w:left="63"/>
                                    <w:jc w:val="right"/>
                                    <w:rPr>
                                      <w:rFonts w:asciiTheme="majorHAnsi" w:hAnsiTheme="majorHAnsi"/>
                                      <w:bCs/>
                                      <w:sz w:val="16"/>
                                      <w:szCs w:val="16"/>
                                      <w:lang w:val="tr-TR"/>
                                    </w:rPr>
                                  </w:pPr>
                                  <w:r>
                                    <w:rPr>
                                      <w:rFonts w:asciiTheme="majorHAnsi" w:hAnsiTheme="majorHAnsi"/>
                                      <w:b/>
                                      <w:bCs/>
                                      <w:sz w:val="16"/>
                                      <w:szCs w:val="16"/>
                                      <w:lang w:val="tr-TR"/>
                                    </w:rPr>
                                    <w:t>Kaynak</w:t>
                                  </w:r>
                                  <w:r w:rsidRPr="009A6B56">
                                    <w:rPr>
                                      <w:rFonts w:asciiTheme="majorHAnsi" w:hAnsiTheme="majorHAnsi"/>
                                      <w:bCs/>
                                      <w:sz w:val="16"/>
                                      <w:szCs w:val="16"/>
                                      <w:lang w:val="tr-TR"/>
                                    </w:rPr>
                                    <w:t xml:space="preserve">: </w:t>
                                  </w:r>
                                  <w:r w:rsidR="00D57242">
                                    <w:rPr>
                                      <w:rFonts w:asciiTheme="majorHAnsi" w:hAnsiTheme="majorHAnsi"/>
                                      <w:bCs/>
                                      <w:sz w:val="16"/>
                                      <w:szCs w:val="16"/>
                                      <w:lang w:val="tr-TR"/>
                                    </w:rPr>
                                    <w:t xml:space="preserve">TÜİK, </w:t>
                                  </w:r>
                                  <w:r w:rsidR="00604A15">
                                    <w:rPr>
                                      <w:rFonts w:asciiTheme="majorHAnsi" w:hAnsiTheme="majorHAnsi"/>
                                      <w:bCs/>
                                      <w:sz w:val="16"/>
                                      <w:szCs w:val="16"/>
                                      <w:lang w:val="tr-TR"/>
                                    </w:rPr>
                                    <w:t xml:space="preserve">Gedik </w:t>
                                  </w:r>
                                  <w:r w:rsidR="00211223">
                                    <w:rPr>
                                      <w:rFonts w:asciiTheme="majorHAnsi" w:hAnsiTheme="majorHAnsi"/>
                                      <w:bCs/>
                                      <w:sz w:val="16"/>
                                      <w:szCs w:val="16"/>
                                      <w:lang w:val="tr-TR"/>
                                    </w:rPr>
                                    <w:t>Yatırım Araştırma</w:t>
                                  </w:r>
                                </w:p>
                                <w:p w14:paraId="0028FD75" w14:textId="776F2FA8" w:rsidR="007F347A" w:rsidRPr="006B4FFE" w:rsidRDefault="007F347A" w:rsidP="006B4FFE">
                                  <w:pPr>
                                    <w:spacing w:after="0"/>
                                    <w:ind w:left="63"/>
                                    <w:jc w:val="right"/>
                                    <w:rPr>
                                      <w:rFonts w:asciiTheme="majorHAnsi" w:hAnsiTheme="majorHAnsi"/>
                                      <w:bCs/>
                                      <w:sz w:val="16"/>
                                      <w:szCs w:val="16"/>
                                      <w:lang w:val="tr-TR"/>
                                    </w:rPr>
                                  </w:pPr>
                                </w:p>
                              </w:tc>
                            </w:tr>
                            <w:tr w:rsidR="00936F48" w:rsidRPr="003814E1" w14:paraId="086B03AD" w14:textId="77777777" w:rsidTr="003A58AB">
                              <w:trPr>
                                <w:cantSplit/>
                                <w:trHeight w:hRule="exact" w:val="450"/>
                              </w:trPr>
                              <w:tc>
                                <w:tcPr>
                                  <w:tcW w:w="4678" w:type="dxa"/>
                                  <w:shd w:val="clear" w:color="auto" w:fill="0435F9" w:themeFill="accent1"/>
                                  <w:vAlign w:val="center"/>
                                </w:tcPr>
                                <w:p w14:paraId="15D0DAEA" w14:textId="02D60F83" w:rsidR="00936F48" w:rsidRPr="007E6234" w:rsidRDefault="00936F48" w:rsidP="00936F48">
                                  <w:pPr>
                                    <w:spacing w:line="216" w:lineRule="auto"/>
                                    <w:rPr>
                                      <w:rFonts w:asciiTheme="majorHAnsi" w:hAnsiTheme="majorHAnsi"/>
                                      <w:bCs/>
                                      <w:sz w:val="17"/>
                                      <w:szCs w:val="17"/>
                                      <w:lang w:val="tr-TR"/>
                                    </w:rPr>
                                  </w:pPr>
                                  <w:r w:rsidRPr="007E6234">
                                    <w:rPr>
                                      <w:rFonts w:asciiTheme="majorHAnsi" w:eastAsia="Times New Roman" w:hAnsiTheme="majorHAnsi"/>
                                      <w:b/>
                                      <w:color w:val="FFFFFF"/>
                                      <w:sz w:val="17"/>
                                      <w:szCs w:val="17"/>
                                      <w:lang w:val="tr-TR"/>
                                    </w:rPr>
                                    <w:t xml:space="preserve">Grafik 3: </w:t>
                                  </w:r>
                                  <w:r w:rsidR="00A23759">
                                    <w:rPr>
                                      <w:rFonts w:asciiTheme="majorHAnsi" w:eastAsia="Times New Roman" w:hAnsiTheme="majorHAnsi"/>
                                      <w:b/>
                                      <w:color w:val="FFFFFF"/>
                                      <w:sz w:val="17"/>
                                      <w:szCs w:val="17"/>
                                      <w:lang w:val="tr-TR"/>
                                    </w:rPr>
                                    <w:t xml:space="preserve">Web TÜFE </w:t>
                                  </w:r>
                                  <w:r w:rsidR="00D57242" w:rsidRPr="00D57242">
                                    <w:rPr>
                                      <w:rFonts w:asciiTheme="majorHAnsi" w:eastAsia="Times New Roman" w:hAnsiTheme="majorHAnsi"/>
                                      <w:b/>
                                      <w:color w:val="FFFFFF"/>
                                      <w:sz w:val="17"/>
                                      <w:szCs w:val="17"/>
                                      <w:lang w:val="tr-TR"/>
                                    </w:rPr>
                                    <w:t>Hizmet Alt Grupları</w:t>
                                  </w:r>
                                  <w:r w:rsidR="00A23759">
                                    <w:rPr>
                                      <w:rFonts w:asciiTheme="majorHAnsi" w:eastAsia="Times New Roman" w:hAnsiTheme="majorHAnsi"/>
                                      <w:b/>
                                      <w:color w:val="FFFFFF"/>
                                      <w:sz w:val="17"/>
                                      <w:szCs w:val="17"/>
                                      <w:lang w:val="tr-TR"/>
                                    </w:rPr>
                                    <w:t xml:space="preserve">                       </w:t>
                                  </w:r>
                                  <w:r w:rsidR="00D57242" w:rsidRPr="00D57242">
                                    <w:rPr>
                                      <w:rFonts w:asciiTheme="majorHAnsi" w:eastAsia="Times New Roman" w:hAnsiTheme="majorHAnsi"/>
                                      <w:b/>
                                      <w:color w:val="FFFFFF"/>
                                      <w:sz w:val="17"/>
                                      <w:szCs w:val="17"/>
                                      <w:lang w:val="tr-TR"/>
                                    </w:rPr>
                                    <w:t>Aylık Değişim (%) – Ekim 2025</w:t>
                                  </w:r>
                                </w:p>
                              </w:tc>
                            </w:tr>
                            <w:tr w:rsidR="00936F48" w:rsidRPr="003814E1" w14:paraId="4D800FB5" w14:textId="77777777" w:rsidTr="00193D37">
                              <w:tblPrEx>
                                <w:tblCellMar>
                                  <w:left w:w="70" w:type="dxa"/>
                                  <w:right w:w="70" w:type="dxa"/>
                                </w:tblCellMar>
                              </w:tblPrEx>
                              <w:trPr>
                                <w:cantSplit/>
                                <w:trHeight w:hRule="exact" w:val="3777"/>
                              </w:trPr>
                              <w:tc>
                                <w:tcPr>
                                  <w:tcW w:w="4678" w:type="dxa"/>
                                  <w:tcBorders>
                                    <w:bottom w:val="single" w:sz="12" w:space="0" w:color="0435F9" w:themeColor="accent1"/>
                                  </w:tcBorders>
                                </w:tcPr>
                                <w:p w14:paraId="0C78ADF6" w14:textId="31F46E9F" w:rsidR="00936F48" w:rsidRDefault="00FB4D16" w:rsidP="00010D6F">
                                  <w:pPr>
                                    <w:spacing w:after="0"/>
                                    <w:ind w:firstLine="63"/>
                                    <w:jc w:val="both"/>
                                    <w:rPr>
                                      <w:rFonts w:asciiTheme="majorHAnsi" w:hAnsiTheme="majorHAnsi"/>
                                      <w:b/>
                                      <w:bCs/>
                                      <w:sz w:val="16"/>
                                      <w:szCs w:val="16"/>
                                      <w:lang w:val="tr-TR"/>
                                    </w:rPr>
                                  </w:pPr>
                                  <w:r w:rsidRPr="00FB4D16">
                                    <w:rPr>
                                      <w:rFonts w:asciiTheme="majorHAnsi" w:hAnsiTheme="majorHAnsi"/>
                                      <w:b/>
                                      <w:bCs/>
                                      <w:noProof/>
                                      <w:sz w:val="16"/>
                                      <w:szCs w:val="16"/>
                                    </w:rPr>
                                    <w:drawing>
                                      <wp:inline distT="0" distB="0" distL="0" distR="0" wp14:anchorId="632F6849" wp14:editId="5DE193EA">
                                        <wp:extent cx="2876550" cy="1727200"/>
                                        <wp:effectExtent l="0" t="0" r="0" b="635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1727200"/>
                                                </a:xfrm>
                                                <a:prstGeom prst="rect">
                                                  <a:avLst/>
                                                </a:prstGeom>
                                                <a:noFill/>
                                                <a:ln>
                                                  <a:noFill/>
                                                </a:ln>
                                              </pic:spPr>
                                            </pic:pic>
                                          </a:graphicData>
                                        </a:graphic>
                                      </wp:inline>
                                    </w:drawing>
                                  </w:r>
                                </w:p>
                                <w:p w14:paraId="34834C33" w14:textId="6FB944B2" w:rsidR="002E5EE4" w:rsidRDefault="009B0976" w:rsidP="006B4FFE">
                                  <w:pPr>
                                    <w:spacing w:after="0"/>
                                    <w:ind w:left="63"/>
                                    <w:jc w:val="right"/>
                                    <w:rPr>
                                      <w:rFonts w:asciiTheme="majorHAnsi" w:hAnsiTheme="majorHAnsi"/>
                                      <w:bCs/>
                                      <w:sz w:val="16"/>
                                      <w:szCs w:val="16"/>
                                      <w:lang w:val="tr-TR"/>
                                    </w:rPr>
                                  </w:pPr>
                                  <w:r>
                                    <w:rPr>
                                      <w:rFonts w:asciiTheme="majorHAnsi" w:hAnsiTheme="majorHAnsi"/>
                                      <w:b/>
                                      <w:bCs/>
                                      <w:sz w:val="16"/>
                                      <w:szCs w:val="16"/>
                                      <w:lang w:val="tr-TR"/>
                                    </w:rPr>
                                    <w:t>Kaynak</w:t>
                                  </w:r>
                                  <w:r w:rsidRPr="009A6B56">
                                    <w:rPr>
                                      <w:rFonts w:asciiTheme="majorHAnsi" w:hAnsiTheme="majorHAnsi"/>
                                      <w:bCs/>
                                      <w:sz w:val="16"/>
                                      <w:szCs w:val="16"/>
                                      <w:lang w:val="tr-TR"/>
                                    </w:rPr>
                                    <w:t xml:space="preserve">: </w:t>
                                  </w:r>
                                  <w:r w:rsidR="00211223">
                                    <w:rPr>
                                      <w:rFonts w:asciiTheme="majorHAnsi" w:hAnsiTheme="majorHAnsi"/>
                                      <w:bCs/>
                                      <w:sz w:val="16"/>
                                      <w:szCs w:val="16"/>
                                      <w:lang w:val="tr-TR"/>
                                    </w:rPr>
                                    <w:t>Gedik Yatırım Araştırma</w:t>
                                  </w:r>
                                </w:p>
                                <w:p w14:paraId="0CB66CFE" w14:textId="57468455" w:rsidR="006B4FFE" w:rsidRPr="002E5EE4" w:rsidRDefault="00604A15" w:rsidP="006B4FFE">
                                  <w:pPr>
                                    <w:spacing w:after="0"/>
                                    <w:ind w:left="63"/>
                                    <w:jc w:val="right"/>
                                    <w:rPr>
                                      <w:rFonts w:asciiTheme="majorHAnsi" w:hAnsiTheme="majorHAnsi"/>
                                      <w:i/>
                                      <w:iCs/>
                                      <w:noProof/>
                                      <w:sz w:val="16"/>
                                      <w:szCs w:val="16"/>
                                      <w:lang w:val="tr-TR"/>
                                    </w:rPr>
                                  </w:pPr>
                                  <w:r>
                                    <w:rPr>
                                      <w:rFonts w:asciiTheme="majorHAnsi" w:hAnsiTheme="majorHAnsi"/>
                                      <w:i/>
                                      <w:iCs/>
                                      <w:sz w:val="14"/>
                                      <w:szCs w:val="14"/>
                                      <w:lang w:val="tr-TR"/>
                                    </w:rPr>
                                    <w:t>.</w:t>
                                  </w:r>
                                </w:p>
                              </w:tc>
                            </w:tr>
                          </w:tbl>
                          <w:p w14:paraId="0CAF7647" w14:textId="77777777" w:rsidR="002844A5" w:rsidRDefault="002844A5" w:rsidP="009F0943">
                            <w:pPr>
                              <w:rPr>
                                <w:color w:val="FFFFFF" w:themeColor="background1"/>
                                <w14:textFill>
                                  <w14:noFill/>
                                </w14:textFill>
                              </w:rPr>
                            </w:pPr>
                          </w:p>
                          <w:p w14:paraId="6EFAD7AB" w14:textId="4264F282" w:rsidR="00014269" w:rsidRDefault="00014269" w:rsidP="009F0943">
                            <w:pPr>
                              <w:rPr>
                                <w:color w:val="FF0000"/>
                              </w:rPr>
                            </w:pPr>
                          </w:p>
                          <w:p w14:paraId="7D4A3623" w14:textId="1443F5FD" w:rsidR="00A46AD4" w:rsidRPr="009E7E10" w:rsidRDefault="00A46AD4" w:rsidP="009F0943">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E767C" id="Metin Kutusu 2" o:spid="_x0000_s1028" type="#_x0000_t202" style="position:absolute;margin-left:197.05pt;margin-top:3.8pt;width:248.25pt;height:554.5pt;z-index:2516746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" filled="f" stroked="f" strokeweight=".5pt">
                <v:textbox>
                  <w:txbxContent>
                    <w:tbl>
                      <w:tblPr>
                        <w:tblStyle w:val="TabloKlavuzu1"/>
                        <w:tblW w:w="0" w:type="auto"/>
                        <w:tblBorders>
                          <w:top w:val="none" w:sz="0" w:space="0" w:color="auto"/>
                          <w:left w:val="none" w:sz="0" w:space="0" w:color="auto"/>
                          <w:bottom w:val="single" w:sz="12" w:space="0" w:color="00938F"/>
                          <w:right w:val="none" w:sz="0" w:space="0" w:color="auto"/>
                          <w:insideH w:val="none" w:sz="0" w:space="0" w:color="auto"/>
                          <w:insideV w:val="none" w:sz="0" w:space="0" w:color="auto"/>
                        </w:tblBorders>
                        <w:tblLayout w:type="fixed"/>
                        <w:tblLook w:val="04A0" w:firstRow="1" w:lastRow="0" w:firstColumn="1" w:lastColumn="0" w:noHBand="0" w:noVBand="1"/>
                      </w:tblPr>
                      <w:tblGrid>
                        <w:gridCol w:w="4678"/>
                      </w:tblGrid>
                      <w:tr w:rsidR="00936F48" w:rsidRPr="003814E1" w14:paraId="50809E8B" w14:textId="77777777" w:rsidTr="00010D6F">
                        <w:trPr>
                          <w:cantSplit/>
                          <w:trHeight w:hRule="exact" w:val="426"/>
                        </w:trPr>
                        <w:tc>
                          <w:tcPr>
                            <w:tcW w:w="4678" w:type="dxa"/>
                            <w:shd w:val="clear" w:color="auto" w:fill="0435F9" w:themeFill="accent1"/>
                            <w:vAlign w:val="center"/>
                          </w:tcPr>
                          <w:p w14:paraId="5955ED62" w14:textId="7B8926ED" w:rsidR="00936F48" w:rsidRPr="00936F48" w:rsidRDefault="00936F48" w:rsidP="007E6234">
                            <w:pPr>
                              <w:spacing w:line="216" w:lineRule="auto"/>
                              <w:rPr>
                                <w:rFonts w:asciiTheme="majorHAnsi" w:hAnsiTheme="majorHAnsi"/>
                                <w:bCs/>
                                <w:sz w:val="18"/>
                                <w:szCs w:val="18"/>
                                <w:lang w:val="tr-TR"/>
                              </w:rPr>
                            </w:pPr>
                            <w:r w:rsidRPr="007E6234">
                              <w:rPr>
                                <w:rFonts w:asciiTheme="majorHAnsi" w:eastAsia="Times New Roman" w:hAnsiTheme="majorHAnsi"/>
                                <w:b/>
                                <w:color w:val="FFFFFF"/>
                                <w:sz w:val="17"/>
                                <w:szCs w:val="17"/>
                                <w:lang w:val="tr-TR"/>
                              </w:rPr>
                              <w:t xml:space="preserve">Grafik 1: </w:t>
                            </w:r>
                            <w:r w:rsidR="009C5BEA">
                              <w:rPr>
                                <w:rFonts w:asciiTheme="majorHAnsi" w:eastAsia="Times New Roman" w:hAnsiTheme="majorHAnsi"/>
                                <w:b/>
                                <w:color w:val="FFFFFF"/>
                                <w:sz w:val="17"/>
                                <w:szCs w:val="17"/>
                                <w:lang w:val="tr-TR"/>
                              </w:rPr>
                              <w:t>Web TÜFE Ana Gruplar Artış Oranları (%)</w:t>
                            </w:r>
                            <w:r w:rsidR="00010D6F">
                              <w:rPr>
                                <w:rFonts w:asciiTheme="majorHAnsi" w:eastAsia="Times New Roman" w:hAnsiTheme="majorHAnsi"/>
                                <w:b/>
                                <w:color w:val="FFFFFF"/>
                                <w:sz w:val="17"/>
                                <w:szCs w:val="17"/>
                                <w:lang w:val="tr-TR"/>
                              </w:rPr>
                              <w:t xml:space="preserve"> – </w:t>
                            </w:r>
                            <w:r w:rsidR="009C5BEA">
                              <w:rPr>
                                <w:rFonts w:asciiTheme="majorHAnsi" w:eastAsia="Times New Roman" w:hAnsiTheme="majorHAnsi"/>
                                <w:b/>
                                <w:color w:val="FFFFFF"/>
                                <w:sz w:val="17"/>
                                <w:szCs w:val="17"/>
                                <w:lang w:val="tr-TR"/>
                              </w:rPr>
                              <w:t>Ekim 2025</w:t>
                            </w:r>
                          </w:p>
                        </w:tc>
                      </w:tr>
                      <w:tr w:rsidR="00936F48" w:rsidRPr="003814E1" w14:paraId="03C30249" w14:textId="77777777" w:rsidTr="00D57242">
                        <w:tblPrEx>
                          <w:tblCellMar>
                            <w:left w:w="70" w:type="dxa"/>
                            <w:right w:w="70" w:type="dxa"/>
                          </w:tblCellMar>
                        </w:tblPrEx>
                        <w:trPr>
                          <w:cantSplit/>
                          <w:trHeight w:hRule="exact" w:val="3400"/>
                        </w:trPr>
                        <w:tc>
                          <w:tcPr>
                            <w:tcW w:w="4678" w:type="dxa"/>
                            <w:tcBorders>
                              <w:bottom w:val="single" w:sz="12" w:space="0" w:color="0435F9" w:themeColor="accent1"/>
                            </w:tcBorders>
                          </w:tcPr>
                          <w:p w14:paraId="0FE45CBC" w14:textId="78367D77" w:rsidR="00010D6F" w:rsidRDefault="009C5BEA" w:rsidP="00010D6F">
                            <w:pPr>
                              <w:spacing w:after="0"/>
                              <w:ind w:left="34"/>
                              <w:jc w:val="right"/>
                              <w:rPr>
                                <w:noProof/>
                              </w:rPr>
                            </w:pPr>
                            <w:r w:rsidRPr="009C5BEA">
                              <w:rPr>
                                <w:rFonts w:asciiTheme="majorHAnsi" w:hAnsiTheme="majorHAnsi"/>
                                <w:b/>
                                <w:bCs/>
                                <w:noProof/>
                                <w:sz w:val="16"/>
                                <w:szCs w:val="16"/>
                              </w:rPr>
                              <w:drawing>
                                <wp:inline distT="0" distB="0" distL="0" distR="0" wp14:anchorId="1249C2C8" wp14:editId="1FE03AA5">
                                  <wp:extent cx="2876550" cy="1727200"/>
                                  <wp:effectExtent l="0" t="0" r="0" b="635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550" cy="1727200"/>
                                          </a:xfrm>
                                          <a:prstGeom prst="rect">
                                            <a:avLst/>
                                          </a:prstGeom>
                                          <a:noFill/>
                                          <a:ln>
                                            <a:noFill/>
                                          </a:ln>
                                        </pic:spPr>
                                      </pic:pic>
                                    </a:graphicData>
                                  </a:graphic>
                                </wp:inline>
                              </w:drawing>
                            </w:r>
                            <w:r w:rsidR="00936F48" w:rsidRPr="0043178A">
                              <w:rPr>
                                <w:rFonts w:asciiTheme="majorHAnsi" w:hAnsiTheme="majorHAnsi"/>
                                <w:b/>
                                <w:bCs/>
                                <w:sz w:val="16"/>
                                <w:szCs w:val="16"/>
                                <w:lang w:val="tr-TR"/>
                              </w:rPr>
                              <w:t xml:space="preserve"> </w:t>
                            </w:r>
                          </w:p>
                          <w:p w14:paraId="65497763" w14:textId="6D88C152" w:rsidR="00010D6F" w:rsidRDefault="00936F48" w:rsidP="00010D6F">
                            <w:pPr>
                              <w:spacing w:after="0"/>
                              <w:ind w:left="63"/>
                              <w:jc w:val="right"/>
                              <w:rPr>
                                <w:rFonts w:asciiTheme="majorHAnsi" w:hAnsiTheme="majorHAnsi"/>
                                <w:bCs/>
                                <w:sz w:val="16"/>
                                <w:szCs w:val="16"/>
                                <w:lang w:val="tr-TR"/>
                              </w:rPr>
                            </w:pPr>
                            <w:r>
                              <w:rPr>
                                <w:rFonts w:asciiTheme="majorHAnsi" w:hAnsiTheme="majorHAnsi"/>
                                <w:b/>
                                <w:bCs/>
                                <w:sz w:val="16"/>
                                <w:szCs w:val="16"/>
                                <w:lang w:val="tr-TR"/>
                              </w:rPr>
                              <w:t>Kaynak</w:t>
                            </w:r>
                            <w:r w:rsidRPr="009A6B56">
                              <w:rPr>
                                <w:rFonts w:asciiTheme="majorHAnsi" w:hAnsiTheme="majorHAnsi"/>
                                <w:bCs/>
                                <w:sz w:val="16"/>
                                <w:szCs w:val="16"/>
                                <w:lang w:val="tr-TR"/>
                              </w:rPr>
                              <w:t xml:space="preserve">: </w:t>
                            </w:r>
                            <w:r w:rsidR="00010D6F">
                              <w:rPr>
                                <w:rFonts w:asciiTheme="majorHAnsi" w:hAnsiTheme="majorHAnsi"/>
                                <w:bCs/>
                                <w:sz w:val="16"/>
                                <w:szCs w:val="16"/>
                                <w:lang w:val="tr-TR"/>
                              </w:rPr>
                              <w:t xml:space="preserve">Gedik </w:t>
                            </w:r>
                            <w:r w:rsidR="00211223">
                              <w:rPr>
                                <w:rFonts w:asciiTheme="majorHAnsi" w:hAnsiTheme="majorHAnsi"/>
                                <w:bCs/>
                                <w:sz w:val="16"/>
                                <w:szCs w:val="16"/>
                                <w:lang w:val="tr-TR"/>
                              </w:rPr>
                              <w:t>Yatırım Araştırma</w:t>
                            </w:r>
                          </w:p>
                          <w:p w14:paraId="714F2172" w14:textId="326D45E0" w:rsidR="00936F48" w:rsidRPr="00FB5581" w:rsidRDefault="00936F48" w:rsidP="00010D6F">
                            <w:pPr>
                              <w:spacing w:after="0"/>
                              <w:ind w:left="62"/>
                              <w:jc w:val="right"/>
                              <w:rPr>
                                <w:rFonts w:ascii="Arial" w:hAnsi="Arial"/>
                                <w:bCs/>
                                <w:noProof/>
                                <w:lang w:val="tr-TR"/>
                              </w:rPr>
                            </w:pPr>
                          </w:p>
                        </w:tc>
                      </w:tr>
                      <w:tr w:rsidR="00936F48" w:rsidRPr="003814E1" w14:paraId="60AB84A2" w14:textId="77777777" w:rsidTr="00604A15">
                        <w:trPr>
                          <w:cantSplit/>
                          <w:trHeight w:hRule="exact" w:val="452"/>
                        </w:trPr>
                        <w:tc>
                          <w:tcPr>
                            <w:tcW w:w="4678" w:type="dxa"/>
                            <w:shd w:val="clear" w:color="auto" w:fill="0435F9" w:themeFill="accent1"/>
                            <w:vAlign w:val="center"/>
                          </w:tcPr>
                          <w:p w14:paraId="6B3B6556" w14:textId="3B7873A7" w:rsidR="00936F48" w:rsidRPr="007E6234" w:rsidRDefault="00936F48" w:rsidP="00936F48">
                            <w:pPr>
                              <w:spacing w:line="216" w:lineRule="auto"/>
                              <w:rPr>
                                <w:rFonts w:asciiTheme="majorHAnsi" w:eastAsia="Times New Roman" w:hAnsiTheme="majorHAnsi"/>
                                <w:b/>
                                <w:color w:val="FFFFFF"/>
                                <w:sz w:val="17"/>
                                <w:szCs w:val="17"/>
                                <w:lang w:val="tr-TR"/>
                              </w:rPr>
                            </w:pPr>
                            <w:r w:rsidRPr="007E6234">
                              <w:rPr>
                                <w:rFonts w:asciiTheme="majorHAnsi" w:eastAsia="Times New Roman" w:hAnsiTheme="majorHAnsi"/>
                                <w:b/>
                                <w:color w:val="FFFFFF"/>
                                <w:sz w:val="17"/>
                                <w:szCs w:val="17"/>
                                <w:lang w:val="tr-TR"/>
                              </w:rPr>
                              <w:t xml:space="preserve">Grafik 2: </w:t>
                            </w:r>
                            <w:r w:rsidR="00D57242">
                              <w:rPr>
                                <w:rFonts w:asciiTheme="majorHAnsi" w:eastAsia="Times New Roman" w:hAnsiTheme="majorHAnsi"/>
                                <w:b/>
                                <w:color w:val="FFFFFF"/>
                                <w:sz w:val="17"/>
                                <w:szCs w:val="17"/>
                                <w:lang w:val="tr-TR"/>
                              </w:rPr>
                              <w:t xml:space="preserve">Web TÜFE-TÜİK TÜFE Karşılaştırması </w:t>
                            </w:r>
                            <w:r w:rsidR="00A23759">
                              <w:rPr>
                                <w:rFonts w:asciiTheme="majorHAnsi" w:eastAsia="Times New Roman" w:hAnsiTheme="majorHAnsi"/>
                                <w:b/>
                                <w:color w:val="FFFFFF"/>
                                <w:sz w:val="17"/>
                                <w:szCs w:val="17"/>
                                <w:lang w:val="tr-TR"/>
                              </w:rPr>
                              <w:t xml:space="preserve">         </w:t>
                            </w:r>
                            <w:r w:rsidR="00D57242">
                              <w:rPr>
                                <w:rFonts w:asciiTheme="majorHAnsi" w:eastAsia="Times New Roman" w:hAnsiTheme="majorHAnsi"/>
                                <w:b/>
                                <w:color w:val="FFFFFF"/>
                                <w:sz w:val="17"/>
                                <w:szCs w:val="17"/>
                                <w:lang w:val="tr-TR"/>
                              </w:rPr>
                              <w:t>2025</w:t>
                            </w:r>
                            <w:r w:rsidR="00A23759">
                              <w:rPr>
                                <w:rFonts w:asciiTheme="majorHAnsi" w:eastAsia="Times New Roman" w:hAnsiTheme="majorHAnsi"/>
                                <w:b/>
                                <w:color w:val="FFFFFF"/>
                                <w:sz w:val="17"/>
                                <w:szCs w:val="17"/>
                                <w:lang w:val="tr-TR"/>
                              </w:rPr>
                              <w:t xml:space="preserve"> başından itibaren</w:t>
                            </w:r>
                          </w:p>
                        </w:tc>
                      </w:tr>
                      <w:tr w:rsidR="00936F48" w:rsidRPr="003814E1" w14:paraId="3F90170B" w14:textId="77777777" w:rsidTr="009C5BEA">
                        <w:tblPrEx>
                          <w:tblCellMar>
                            <w:left w:w="70" w:type="dxa"/>
                            <w:right w:w="70" w:type="dxa"/>
                          </w:tblCellMar>
                        </w:tblPrEx>
                        <w:trPr>
                          <w:cantSplit/>
                          <w:trHeight w:hRule="exact" w:val="3227"/>
                        </w:trPr>
                        <w:tc>
                          <w:tcPr>
                            <w:tcW w:w="4678" w:type="dxa"/>
                            <w:tcBorders>
                              <w:bottom w:val="single" w:sz="12" w:space="0" w:color="0435F9" w:themeColor="accent1"/>
                            </w:tcBorders>
                          </w:tcPr>
                          <w:p w14:paraId="2F0C2660" w14:textId="30A514A1" w:rsidR="00936F48" w:rsidRDefault="00D57242" w:rsidP="001028F5">
                            <w:pPr>
                              <w:spacing w:after="0"/>
                              <w:jc w:val="center"/>
                              <w:rPr>
                                <w:rFonts w:asciiTheme="majorHAnsi" w:hAnsiTheme="majorHAnsi"/>
                                <w:b/>
                                <w:bCs/>
                                <w:sz w:val="16"/>
                                <w:szCs w:val="16"/>
                                <w:lang w:val="tr-TR"/>
                              </w:rPr>
                            </w:pPr>
                            <w:r w:rsidRPr="00D57242">
                              <w:rPr>
                                <w:rFonts w:asciiTheme="majorHAnsi" w:hAnsiTheme="majorHAnsi"/>
                                <w:b/>
                                <w:bCs/>
                                <w:noProof/>
                                <w:sz w:val="16"/>
                                <w:szCs w:val="16"/>
                              </w:rPr>
                              <w:drawing>
                                <wp:inline distT="0" distB="0" distL="0" distR="0" wp14:anchorId="762ADB18" wp14:editId="4B73B2F4">
                                  <wp:extent cx="2876550" cy="1517650"/>
                                  <wp:effectExtent l="0" t="0" r="0" b="635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6550" cy="1517650"/>
                                          </a:xfrm>
                                          <a:prstGeom prst="rect">
                                            <a:avLst/>
                                          </a:prstGeom>
                                          <a:noFill/>
                                          <a:ln>
                                            <a:noFill/>
                                          </a:ln>
                                        </pic:spPr>
                                      </pic:pic>
                                    </a:graphicData>
                                  </a:graphic>
                                </wp:inline>
                              </w:drawing>
                            </w:r>
                          </w:p>
                          <w:p w14:paraId="398D3885" w14:textId="0F0D7FB2" w:rsidR="00E47E64" w:rsidRDefault="009B0976" w:rsidP="006B4FFE">
                            <w:pPr>
                              <w:spacing w:after="0"/>
                              <w:ind w:left="63"/>
                              <w:jc w:val="right"/>
                              <w:rPr>
                                <w:rFonts w:asciiTheme="majorHAnsi" w:hAnsiTheme="majorHAnsi"/>
                                <w:bCs/>
                                <w:sz w:val="16"/>
                                <w:szCs w:val="16"/>
                                <w:lang w:val="tr-TR"/>
                              </w:rPr>
                            </w:pPr>
                            <w:r>
                              <w:rPr>
                                <w:rFonts w:asciiTheme="majorHAnsi" w:hAnsiTheme="majorHAnsi"/>
                                <w:b/>
                                <w:bCs/>
                                <w:sz w:val="16"/>
                                <w:szCs w:val="16"/>
                                <w:lang w:val="tr-TR"/>
                              </w:rPr>
                              <w:t>Kaynak</w:t>
                            </w:r>
                            <w:r w:rsidRPr="009A6B56">
                              <w:rPr>
                                <w:rFonts w:asciiTheme="majorHAnsi" w:hAnsiTheme="majorHAnsi"/>
                                <w:bCs/>
                                <w:sz w:val="16"/>
                                <w:szCs w:val="16"/>
                                <w:lang w:val="tr-TR"/>
                              </w:rPr>
                              <w:t xml:space="preserve">: </w:t>
                            </w:r>
                            <w:r w:rsidR="00D57242">
                              <w:rPr>
                                <w:rFonts w:asciiTheme="majorHAnsi" w:hAnsiTheme="majorHAnsi"/>
                                <w:bCs/>
                                <w:sz w:val="16"/>
                                <w:szCs w:val="16"/>
                                <w:lang w:val="tr-TR"/>
                              </w:rPr>
                              <w:t xml:space="preserve">TÜİK, </w:t>
                            </w:r>
                            <w:r w:rsidR="00604A15">
                              <w:rPr>
                                <w:rFonts w:asciiTheme="majorHAnsi" w:hAnsiTheme="majorHAnsi"/>
                                <w:bCs/>
                                <w:sz w:val="16"/>
                                <w:szCs w:val="16"/>
                                <w:lang w:val="tr-TR"/>
                              </w:rPr>
                              <w:t xml:space="preserve">Gedik </w:t>
                            </w:r>
                            <w:r w:rsidR="00211223">
                              <w:rPr>
                                <w:rFonts w:asciiTheme="majorHAnsi" w:hAnsiTheme="majorHAnsi"/>
                                <w:bCs/>
                                <w:sz w:val="16"/>
                                <w:szCs w:val="16"/>
                                <w:lang w:val="tr-TR"/>
                              </w:rPr>
                              <w:t>Yatırım Araştırma</w:t>
                            </w:r>
                          </w:p>
                          <w:p w14:paraId="0028FD75" w14:textId="776F2FA8" w:rsidR="007F347A" w:rsidRPr="006B4FFE" w:rsidRDefault="007F347A" w:rsidP="006B4FFE">
                            <w:pPr>
                              <w:spacing w:after="0"/>
                              <w:ind w:left="63"/>
                              <w:jc w:val="right"/>
                              <w:rPr>
                                <w:rFonts w:asciiTheme="majorHAnsi" w:hAnsiTheme="majorHAnsi"/>
                                <w:bCs/>
                                <w:sz w:val="16"/>
                                <w:szCs w:val="16"/>
                                <w:lang w:val="tr-TR"/>
                              </w:rPr>
                            </w:pPr>
                          </w:p>
                        </w:tc>
                      </w:tr>
                      <w:tr w:rsidR="00936F48" w:rsidRPr="003814E1" w14:paraId="086B03AD" w14:textId="77777777" w:rsidTr="003A58AB">
                        <w:trPr>
                          <w:cantSplit/>
                          <w:trHeight w:hRule="exact" w:val="450"/>
                        </w:trPr>
                        <w:tc>
                          <w:tcPr>
                            <w:tcW w:w="4678" w:type="dxa"/>
                            <w:shd w:val="clear" w:color="auto" w:fill="0435F9" w:themeFill="accent1"/>
                            <w:vAlign w:val="center"/>
                          </w:tcPr>
                          <w:p w14:paraId="15D0DAEA" w14:textId="02D60F83" w:rsidR="00936F48" w:rsidRPr="007E6234" w:rsidRDefault="00936F48" w:rsidP="00936F48">
                            <w:pPr>
                              <w:spacing w:line="216" w:lineRule="auto"/>
                              <w:rPr>
                                <w:rFonts w:asciiTheme="majorHAnsi" w:hAnsiTheme="majorHAnsi"/>
                                <w:bCs/>
                                <w:sz w:val="17"/>
                                <w:szCs w:val="17"/>
                                <w:lang w:val="tr-TR"/>
                              </w:rPr>
                            </w:pPr>
                            <w:r w:rsidRPr="007E6234">
                              <w:rPr>
                                <w:rFonts w:asciiTheme="majorHAnsi" w:eastAsia="Times New Roman" w:hAnsiTheme="majorHAnsi"/>
                                <w:b/>
                                <w:color w:val="FFFFFF"/>
                                <w:sz w:val="17"/>
                                <w:szCs w:val="17"/>
                                <w:lang w:val="tr-TR"/>
                              </w:rPr>
                              <w:t xml:space="preserve">Grafik 3: </w:t>
                            </w:r>
                            <w:r w:rsidR="00A23759">
                              <w:rPr>
                                <w:rFonts w:asciiTheme="majorHAnsi" w:eastAsia="Times New Roman" w:hAnsiTheme="majorHAnsi"/>
                                <w:b/>
                                <w:color w:val="FFFFFF"/>
                                <w:sz w:val="17"/>
                                <w:szCs w:val="17"/>
                                <w:lang w:val="tr-TR"/>
                              </w:rPr>
                              <w:t xml:space="preserve">Web TÜFE </w:t>
                            </w:r>
                            <w:r w:rsidR="00D57242" w:rsidRPr="00D57242">
                              <w:rPr>
                                <w:rFonts w:asciiTheme="majorHAnsi" w:eastAsia="Times New Roman" w:hAnsiTheme="majorHAnsi"/>
                                <w:b/>
                                <w:color w:val="FFFFFF"/>
                                <w:sz w:val="17"/>
                                <w:szCs w:val="17"/>
                                <w:lang w:val="tr-TR"/>
                              </w:rPr>
                              <w:t>Hizmet Alt Grupları</w:t>
                            </w:r>
                            <w:r w:rsidR="00A23759">
                              <w:rPr>
                                <w:rFonts w:asciiTheme="majorHAnsi" w:eastAsia="Times New Roman" w:hAnsiTheme="majorHAnsi"/>
                                <w:b/>
                                <w:color w:val="FFFFFF"/>
                                <w:sz w:val="17"/>
                                <w:szCs w:val="17"/>
                                <w:lang w:val="tr-TR"/>
                              </w:rPr>
                              <w:t xml:space="preserve">                       </w:t>
                            </w:r>
                            <w:r w:rsidR="00D57242" w:rsidRPr="00D57242">
                              <w:rPr>
                                <w:rFonts w:asciiTheme="majorHAnsi" w:eastAsia="Times New Roman" w:hAnsiTheme="majorHAnsi"/>
                                <w:b/>
                                <w:color w:val="FFFFFF"/>
                                <w:sz w:val="17"/>
                                <w:szCs w:val="17"/>
                                <w:lang w:val="tr-TR"/>
                              </w:rPr>
                              <w:t>Aylık Değişim (%) – Ekim 2025</w:t>
                            </w:r>
                          </w:p>
                        </w:tc>
                      </w:tr>
                      <w:tr w:rsidR="00936F48" w:rsidRPr="003814E1" w14:paraId="4D800FB5" w14:textId="77777777" w:rsidTr="00193D37">
                        <w:tblPrEx>
                          <w:tblCellMar>
                            <w:left w:w="70" w:type="dxa"/>
                            <w:right w:w="70" w:type="dxa"/>
                          </w:tblCellMar>
                        </w:tblPrEx>
                        <w:trPr>
                          <w:cantSplit/>
                          <w:trHeight w:hRule="exact" w:val="3777"/>
                        </w:trPr>
                        <w:tc>
                          <w:tcPr>
                            <w:tcW w:w="4678" w:type="dxa"/>
                            <w:tcBorders>
                              <w:bottom w:val="single" w:sz="12" w:space="0" w:color="0435F9" w:themeColor="accent1"/>
                            </w:tcBorders>
                          </w:tcPr>
                          <w:p w14:paraId="0C78ADF6" w14:textId="31F46E9F" w:rsidR="00936F48" w:rsidRDefault="00FB4D16" w:rsidP="00010D6F">
                            <w:pPr>
                              <w:spacing w:after="0"/>
                              <w:ind w:firstLine="63"/>
                              <w:jc w:val="both"/>
                              <w:rPr>
                                <w:rFonts w:asciiTheme="majorHAnsi" w:hAnsiTheme="majorHAnsi"/>
                                <w:b/>
                                <w:bCs/>
                                <w:sz w:val="16"/>
                                <w:szCs w:val="16"/>
                                <w:lang w:val="tr-TR"/>
                              </w:rPr>
                            </w:pPr>
                            <w:r w:rsidRPr="00FB4D16">
                              <w:rPr>
                                <w:rFonts w:asciiTheme="majorHAnsi" w:hAnsiTheme="majorHAnsi"/>
                                <w:b/>
                                <w:bCs/>
                                <w:noProof/>
                                <w:sz w:val="16"/>
                                <w:szCs w:val="16"/>
                              </w:rPr>
                              <w:drawing>
                                <wp:inline distT="0" distB="0" distL="0" distR="0" wp14:anchorId="632F6849" wp14:editId="5DE193EA">
                                  <wp:extent cx="2876550" cy="1727200"/>
                                  <wp:effectExtent l="0" t="0" r="0" b="635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1727200"/>
                                          </a:xfrm>
                                          <a:prstGeom prst="rect">
                                            <a:avLst/>
                                          </a:prstGeom>
                                          <a:noFill/>
                                          <a:ln>
                                            <a:noFill/>
                                          </a:ln>
                                        </pic:spPr>
                                      </pic:pic>
                                    </a:graphicData>
                                  </a:graphic>
                                </wp:inline>
                              </w:drawing>
                            </w:r>
                          </w:p>
                          <w:p w14:paraId="34834C33" w14:textId="6FB944B2" w:rsidR="002E5EE4" w:rsidRDefault="009B0976" w:rsidP="006B4FFE">
                            <w:pPr>
                              <w:spacing w:after="0"/>
                              <w:ind w:left="63"/>
                              <w:jc w:val="right"/>
                              <w:rPr>
                                <w:rFonts w:asciiTheme="majorHAnsi" w:hAnsiTheme="majorHAnsi"/>
                                <w:bCs/>
                                <w:sz w:val="16"/>
                                <w:szCs w:val="16"/>
                                <w:lang w:val="tr-TR"/>
                              </w:rPr>
                            </w:pPr>
                            <w:r>
                              <w:rPr>
                                <w:rFonts w:asciiTheme="majorHAnsi" w:hAnsiTheme="majorHAnsi"/>
                                <w:b/>
                                <w:bCs/>
                                <w:sz w:val="16"/>
                                <w:szCs w:val="16"/>
                                <w:lang w:val="tr-TR"/>
                              </w:rPr>
                              <w:t>Kaynak</w:t>
                            </w:r>
                            <w:r w:rsidRPr="009A6B56">
                              <w:rPr>
                                <w:rFonts w:asciiTheme="majorHAnsi" w:hAnsiTheme="majorHAnsi"/>
                                <w:bCs/>
                                <w:sz w:val="16"/>
                                <w:szCs w:val="16"/>
                                <w:lang w:val="tr-TR"/>
                              </w:rPr>
                              <w:t xml:space="preserve">: </w:t>
                            </w:r>
                            <w:r w:rsidR="00211223">
                              <w:rPr>
                                <w:rFonts w:asciiTheme="majorHAnsi" w:hAnsiTheme="majorHAnsi"/>
                                <w:bCs/>
                                <w:sz w:val="16"/>
                                <w:szCs w:val="16"/>
                                <w:lang w:val="tr-TR"/>
                              </w:rPr>
                              <w:t>Gedik Yatırım Araştırma</w:t>
                            </w:r>
                          </w:p>
                          <w:p w14:paraId="0CB66CFE" w14:textId="57468455" w:rsidR="006B4FFE" w:rsidRPr="002E5EE4" w:rsidRDefault="00604A15" w:rsidP="006B4FFE">
                            <w:pPr>
                              <w:spacing w:after="0"/>
                              <w:ind w:left="63"/>
                              <w:jc w:val="right"/>
                              <w:rPr>
                                <w:rFonts w:asciiTheme="majorHAnsi" w:hAnsiTheme="majorHAnsi"/>
                                <w:i/>
                                <w:iCs/>
                                <w:noProof/>
                                <w:sz w:val="16"/>
                                <w:szCs w:val="16"/>
                                <w:lang w:val="tr-TR"/>
                              </w:rPr>
                            </w:pPr>
                            <w:r>
                              <w:rPr>
                                <w:rFonts w:asciiTheme="majorHAnsi" w:hAnsiTheme="majorHAnsi"/>
                                <w:i/>
                                <w:iCs/>
                                <w:sz w:val="14"/>
                                <w:szCs w:val="14"/>
                                <w:lang w:val="tr-TR"/>
                              </w:rPr>
                              <w:t>.</w:t>
                            </w:r>
                          </w:p>
                        </w:tc>
                      </w:tr>
                    </w:tbl>
                    <w:p w14:paraId="0CAF7647" w14:textId="77777777" w:rsidR="002844A5" w:rsidRDefault="002844A5" w:rsidP="009F0943">
                      <w:pPr>
                        <w:rPr>
                          <w:color w:val="FFFFFF" w:themeColor="background1"/>
                          <w14:textFill>
                            <w14:noFill/>
                          </w14:textFill>
                        </w:rPr>
                      </w:pPr>
                    </w:p>
                    <w:p w14:paraId="6EFAD7AB" w14:textId="4264F282" w:rsidR="00014269" w:rsidRDefault="00014269" w:rsidP="009F0943">
                      <w:pPr>
                        <w:rPr>
                          <w:color w:val="FF0000"/>
                        </w:rPr>
                      </w:pPr>
                    </w:p>
                    <w:p w14:paraId="7D4A3623" w14:textId="1443F5FD" w:rsidR="00A46AD4" w:rsidRPr="009E7E10" w:rsidRDefault="00A46AD4" w:rsidP="009F0943">
                      <w:pPr>
                        <w:rPr>
                          <w:color w:val="FF0000"/>
                        </w:rPr>
                      </w:pPr>
                    </w:p>
                  </w:txbxContent>
                </v:textbox>
                <w10:wrap anchorx="page"/>
              </v:shape>
            </w:pict>
          </mc:Fallback>
        </mc:AlternateContent>
      </w:r>
      <w:r w:rsidR="00D27D47" w:rsidRPr="00F442CF">
        <w:rPr>
          <w:noProof/>
          <w:lang w:eastAsia="tr-TR"/>
        </w:rPr>
        <mc:AlternateContent>
          <mc:Choice Requires="wps">
            <w:drawing>
              <wp:anchor distT="0" distB="0" distL="114300" distR="114300" simplePos="0" relativeHeight="251659264" behindDoc="0" locked="0" layoutInCell="1" allowOverlap="1" wp14:anchorId="066B34DF" wp14:editId="3968225F">
                <wp:simplePos x="0" y="0"/>
                <wp:positionH relativeFrom="page">
                  <wp:align>left</wp:align>
                </wp:positionH>
                <wp:positionV relativeFrom="paragraph">
                  <wp:posOffset>-349167</wp:posOffset>
                </wp:positionV>
                <wp:extent cx="7162800" cy="327025"/>
                <wp:effectExtent l="0" t="0" r="0" b="0"/>
                <wp:wrapNone/>
                <wp:docPr id="11" name="Metin Kutusu 11"/>
                <wp:cNvGraphicFramePr/>
                <a:graphic xmlns:a="http://schemas.openxmlformats.org/drawingml/2006/main">
                  <a:graphicData uri="http://schemas.microsoft.com/office/word/2010/wordprocessingShape">
                    <wps:wsp>
                      <wps:cNvSpPr txBox="1"/>
                      <wps:spPr>
                        <a:xfrm>
                          <a:off x="0" y="0"/>
                          <a:ext cx="7162800" cy="327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D69DC2" w14:textId="38361225" w:rsidR="00EF544A" w:rsidRPr="00C87DCE" w:rsidRDefault="00C87DCE" w:rsidP="00EF544A">
                            <w:pPr>
                              <w:rPr>
                                <w:rFonts w:ascii="IBM Plex Sans" w:hAnsi="IBM Plex Sans"/>
                                <w:b/>
                                <w:color w:val="011979" w:themeColor="accent2"/>
                              </w:rPr>
                            </w:pPr>
                            <w:r w:rsidRPr="00C87DCE">
                              <w:rPr>
                                <w:rFonts w:ascii="IBM Plex Sans" w:hAnsi="IBM Plex Sans"/>
                                <w:b/>
                                <w:color w:val="011979" w:themeColor="accent2"/>
                                <w:sz w:val="22"/>
                                <w:szCs w:val="22"/>
                              </w:rPr>
                              <w:t>Ekim ayında enflasyon yüksek seyrini korurken ana eğilimde belirgin bir iyileşme beklemiyoruz</w:t>
                            </w:r>
                            <w:r w:rsidR="009156F5">
                              <w:rPr>
                                <w:rFonts w:ascii="IBM Plex Sans" w:hAnsi="IBM Plex Sans"/>
                                <w:b/>
                                <w:color w:val="011979" w:themeColor="accent2"/>
                                <w:sz w:val="22"/>
                                <w:szCs w:val="22"/>
                              </w:rPr>
                              <w:t>.</w:t>
                            </w:r>
                          </w:p>
                          <w:p w14:paraId="4B6EEAFA" w14:textId="77777777" w:rsidR="00EF544A" w:rsidRPr="00EF544A" w:rsidRDefault="00EF544A" w:rsidP="00EF544A">
                            <w:pPr>
                              <w:rPr>
                                <w:rFonts w:ascii="IBM Plex Sans" w:hAnsi="IBM Plex Sans"/>
                                <w:b/>
                                <w:color w:val="011979" w:themeColor="accent2"/>
                                <w:sz w:val="24"/>
                                <w:szCs w:val="24"/>
                              </w:rPr>
                            </w:pPr>
                          </w:p>
                          <w:p w14:paraId="793947F1" w14:textId="77777777" w:rsidR="00EF544A" w:rsidRPr="00EF544A" w:rsidRDefault="00EF544A" w:rsidP="00EF544A">
                            <w:pPr>
                              <w:rPr>
                                <w:rFonts w:ascii="IBM Plex Sans" w:hAnsi="IBM Plex Sans"/>
                                <w:b/>
                                <w:color w:val="011979" w:themeColor="accent2"/>
                                <w:sz w:val="24"/>
                                <w:szCs w:val="24"/>
                              </w:rPr>
                            </w:pPr>
                          </w:p>
                          <w:p w14:paraId="2589E190" w14:textId="77777777" w:rsidR="00EF544A" w:rsidRPr="00EF544A" w:rsidRDefault="00EF544A" w:rsidP="00EF544A">
                            <w:pPr>
                              <w:rPr>
                                <w:rFonts w:ascii="IBM Plex Sans" w:hAnsi="IBM Plex Sans"/>
                                <w:b/>
                                <w:color w:val="011979" w:themeColor="accent2"/>
                                <w:sz w:val="24"/>
                                <w:szCs w:val="24"/>
                              </w:rPr>
                            </w:pPr>
                          </w:p>
                          <w:p w14:paraId="359F1247" w14:textId="77777777" w:rsidR="00EF544A" w:rsidRPr="00EF544A" w:rsidRDefault="00EF544A" w:rsidP="00EF544A">
                            <w:pPr>
                              <w:rPr>
                                <w:rFonts w:ascii="IBM Plex Sans" w:hAnsi="IBM Plex Sans"/>
                                <w:b/>
                                <w:color w:val="011979" w:themeColor="accent2"/>
                                <w:sz w:val="24"/>
                                <w:szCs w:val="24"/>
                              </w:rPr>
                            </w:pPr>
                          </w:p>
                          <w:p w14:paraId="328CF3C7" w14:textId="77777777" w:rsidR="00EF544A" w:rsidRPr="00EF544A" w:rsidRDefault="00EF544A" w:rsidP="00EF544A">
                            <w:pPr>
                              <w:rPr>
                                <w:rFonts w:ascii="IBM Plex Sans" w:hAnsi="IBM Plex Sans"/>
                                <w:b/>
                                <w:color w:val="011979" w:themeColor="accent2"/>
                                <w:sz w:val="24"/>
                                <w:szCs w:val="24"/>
                              </w:rPr>
                            </w:pPr>
                          </w:p>
                          <w:p w14:paraId="6470E5CB" w14:textId="77777777" w:rsidR="00EF544A" w:rsidRPr="00EF544A" w:rsidRDefault="00EF544A" w:rsidP="00EF544A">
                            <w:pPr>
                              <w:rPr>
                                <w:rFonts w:ascii="IBM Plex Sans" w:hAnsi="IBM Plex Sans"/>
                                <w:b/>
                                <w:color w:val="011979" w:themeColor="accent2"/>
                                <w:sz w:val="24"/>
                                <w:szCs w:val="24"/>
                              </w:rPr>
                            </w:pPr>
                          </w:p>
                          <w:p w14:paraId="5A2C880B" w14:textId="77777777" w:rsidR="00EF544A" w:rsidRPr="00EF544A" w:rsidRDefault="00EF544A" w:rsidP="00EF544A">
                            <w:pPr>
                              <w:rPr>
                                <w:rFonts w:ascii="IBM Plex Sans" w:hAnsi="IBM Plex Sans"/>
                                <w:b/>
                                <w:color w:val="011979" w:themeColor="accent2"/>
                                <w:sz w:val="24"/>
                                <w:szCs w:val="24"/>
                              </w:rPr>
                            </w:pPr>
                          </w:p>
                          <w:p w14:paraId="0D315748" w14:textId="796BEC07" w:rsidR="00D27D47" w:rsidRPr="00D27D47" w:rsidRDefault="00EF544A" w:rsidP="00EF544A">
                            <w:pPr>
                              <w:rPr>
                                <w:rFonts w:ascii="IBM Plex Sans" w:hAnsi="IBM Plex Sans"/>
                                <w:b/>
                                <w:color w:val="011979" w:themeColor="accent2"/>
                                <w:sz w:val="26"/>
                                <w:szCs w:val="26"/>
                              </w:rPr>
                            </w:pPr>
                            <w:r w:rsidRPr="00EF544A">
                              <w:rPr>
                                <w:rFonts w:ascii="IBM Plex Sans" w:hAnsi="IBM Plex Sans"/>
                                <w:b/>
                                <w:color w:val="011979" w:themeColor="accent2"/>
                                <w:sz w:val="24"/>
                                <w:szCs w:val="24"/>
                              </w:rPr>
                              <w:t>ChatGPT’ye sor</w:t>
                            </w:r>
                          </w:p>
                          <w:p w14:paraId="38EE1E41" w14:textId="77777777" w:rsidR="00D27D47" w:rsidRPr="00D27D47" w:rsidRDefault="00D27D47" w:rsidP="00D27D47">
                            <w:pPr>
                              <w:rPr>
                                <w:rFonts w:ascii="IBM Plex Sans" w:hAnsi="IBM Plex Sans"/>
                                <w:b/>
                                <w:color w:val="011979" w:themeColor="accent2"/>
                                <w:sz w:val="26"/>
                                <w:szCs w:val="26"/>
                              </w:rPr>
                            </w:pPr>
                          </w:p>
                          <w:p w14:paraId="220B66D3" w14:textId="77777777" w:rsidR="00D27D47" w:rsidRPr="00D27D47" w:rsidRDefault="00D27D47" w:rsidP="00D27D47">
                            <w:pPr>
                              <w:rPr>
                                <w:rFonts w:ascii="IBM Plex Sans" w:hAnsi="IBM Plex Sans"/>
                                <w:b/>
                                <w:color w:val="011979" w:themeColor="accent2"/>
                                <w:sz w:val="26"/>
                                <w:szCs w:val="26"/>
                              </w:rPr>
                            </w:pPr>
                          </w:p>
                          <w:p w14:paraId="2A7483DF" w14:textId="77777777" w:rsidR="00D27D47" w:rsidRPr="00D27D47" w:rsidRDefault="00D27D47" w:rsidP="00D27D47">
                            <w:pPr>
                              <w:rPr>
                                <w:rFonts w:ascii="IBM Plex Sans" w:hAnsi="IBM Plex Sans"/>
                                <w:b/>
                                <w:color w:val="011979" w:themeColor="accent2"/>
                                <w:sz w:val="26"/>
                                <w:szCs w:val="26"/>
                              </w:rPr>
                            </w:pPr>
                          </w:p>
                          <w:p w14:paraId="2BEDAB5F" w14:textId="2645278F" w:rsidR="00FA055D" w:rsidRPr="00CC7F51" w:rsidRDefault="00FA055D" w:rsidP="00FA055D">
                            <w:pPr>
                              <w:rPr>
                                <w:rFonts w:ascii="IBM Plex Sans" w:hAnsi="IBM Plex Sans"/>
                                <w:b/>
                                <w:color w:val="011979" w:themeColor="accent2"/>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B34DF" id="Metin Kutusu 11" o:spid="_x0000_s1029" type="#_x0000_t202" style="position:absolute;margin-left:0;margin-top:-27.5pt;width:564pt;height:25.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" filled="f" stroked="f" strokeweight=".5pt">
                <v:textbox>
                  <w:txbxContent>
                    <w:p w14:paraId="33D69DC2" w14:textId="38361225" w:rsidR="00EF544A" w:rsidRPr="00C87DCE" w:rsidRDefault="00C87DCE" w:rsidP="00EF544A">
                      <w:pPr>
                        <w:rPr>
                          <w:rFonts w:ascii="IBM Plex Sans" w:hAnsi="IBM Plex Sans"/>
                          <w:b/>
                          <w:color w:val="011979" w:themeColor="accent2"/>
                        </w:rPr>
                      </w:pPr>
                      <w:r w:rsidRPr="00C87DCE">
                        <w:rPr>
                          <w:rFonts w:ascii="IBM Plex Sans" w:hAnsi="IBM Plex Sans"/>
                          <w:b/>
                          <w:color w:val="011979" w:themeColor="accent2"/>
                          <w:sz w:val="22"/>
                          <w:szCs w:val="22"/>
                        </w:rPr>
                        <w:t>Ekim ayında enflasyon yüksek seyrini korurken ana eğilimde belirgin bir iyileşme beklemiyoruz</w:t>
                      </w:r>
                      <w:r w:rsidR="009156F5">
                        <w:rPr>
                          <w:rFonts w:ascii="IBM Plex Sans" w:hAnsi="IBM Plex Sans"/>
                          <w:b/>
                          <w:color w:val="011979" w:themeColor="accent2"/>
                          <w:sz w:val="22"/>
                          <w:szCs w:val="22"/>
                        </w:rPr>
                        <w:t>.</w:t>
                      </w:r>
                    </w:p>
                    <w:p w14:paraId="4B6EEAFA" w14:textId="77777777" w:rsidR="00EF544A" w:rsidRPr="00EF544A" w:rsidRDefault="00EF544A" w:rsidP="00EF544A">
                      <w:pPr>
                        <w:rPr>
                          <w:rFonts w:ascii="IBM Plex Sans" w:hAnsi="IBM Plex Sans"/>
                          <w:b/>
                          <w:color w:val="011979" w:themeColor="accent2"/>
                          <w:sz w:val="24"/>
                          <w:szCs w:val="24"/>
                        </w:rPr>
                      </w:pPr>
                    </w:p>
                    <w:p w14:paraId="793947F1" w14:textId="77777777" w:rsidR="00EF544A" w:rsidRPr="00EF544A" w:rsidRDefault="00EF544A" w:rsidP="00EF544A">
                      <w:pPr>
                        <w:rPr>
                          <w:rFonts w:ascii="IBM Plex Sans" w:hAnsi="IBM Plex Sans"/>
                          <w:b/>
                          <w:color w:val="011979" w:themeColor="accent2"/>
                          <w:sz w:val="24"/>
                          <w:szCs w:val="24"/>
                        </w:rPr>
                      </w:pPr>
                    </w:p>
                    <w:p w14:paraId="2589E190" w14:textId="77777777" w:rsidR="00EF544A" w:rsidRPr="00EF544A" w:rsidRDefault="00EF544A" w:rsidP="00EF544A">
                      <w:pPr>
                        <w:rPr>
                          <w:rFonts w:ascii="IBM Plex Sans" w:hAnsi="IBM Plex Sans"/>
                          <w:b/>
                          <w:color w:val="011979" w:themeColor="accent2"/>
                          <w:sz w:val="24"/>
                          <w:szCs w:val="24"/>
                        </w:rPr>
                      </w:pPr>
                    </w:p>
                    <w:p w14:paraId="359F1247" w14:textId="77777777" w:rsidR="00EF544A" w:rsidRPr="00EF544A" w:rsidRDefault="00EF544A" w:rsidP="00EF544A">
                      <w:pPr>
                        <w:rPr>
                          <w:rFonts w:ascii="IBM Plex Sans" w:hAnsi="IBM Plex Sans"/>
                          <w:b/>
                          <w:color w:val="011979" w:themeColor="accent2"/>
                          <w:sz w:val="24"/>
                          <w:szCs w:val="24"/>
                        </w:rPr>
                      </w:pPr>
                    </w:p>
                    <w:p w14:paraId="328CF3C7" w14:textId="77777777" w:rsidR="00EF544A" w:rsidRPr="00EF544A" w:rsidRDefault="00EF544A" w:rsidP="00EF544A">
                      <w:pPr>
                        <w:rPr>
                          <w:rFonts w:ascii="IBM Plex Sans" w:hAnsi="IBM Plex Sans"/>
                          <w:b/>
                          <w:color w:val="011979" w:themeColor="accent2"/>
                          <w:sz w:val="24"/>
                          <w:szCs w:val="24"/>
                        </w:rPr>
                      </w:pPr>
                    </w:p>
                    <w:p w14:paraId="6470E5CB" w14:textId="77777777" w:rsidR="00EF544A" w:rsidRPr="00EF544A" w:rsidRDefault="00EF544A" w:rsidP="00EF544A">
                      <w:pPr>
                        <w:rPr>
                          <w:rFonts w:ascii="IBM Plex Sans" w:hAnsi="IBM Plex Sans"/>
                          <w:b/>
                          <w:color w:val="011979" w:themeColor="accent2"/>
                          <w:sz w:val="24"/>
                          <w:szCs w:val="24"/>
                        </w:rPr>
                      </w:pPr>
                    </w:p>
                    <w:p w14:paraId="5A2C880B" w14:textId="77777777" w:rsidR="00EF544A" w:rsidRPr="00EF544A" w:rsidRDefault="00EF544A" w:rsidP="00EF544A">
                      <w:pPr>
                        <w:rPr>
                          <w:rFonts w:ascii="IBM Plex Sans" w:hAnsi="IBM Plex Sans"/>
                          <w:b/>
                          <w:color w:val="011979" w:themeColor="accent2"/>
                          <w:sz w:val="24"/>
                          <w:szCs w:val="24"/>
                        </w:rPr>
                      </w:pPr>
                    </w:p>
                    <w:p w14:paraId="0D315748" w14:textId="796BEC07" w:rsidR="00D27D47" w:rsidRPr="00D27D47" w:rsidRDefault="00EF544A" w:rsidP="00EF544A">
                      <w:pPr>
                        <w:rPr>
                          <w:rFonts w:ascii="IBM Plex Sans" w:hAnsi="IBM Plex Sans"/>
                          <w:b/>
                          <w:color w:val="011979" w:themeColor="accent2"/>
                          <w:sz w:val="26"/>
                          <w:szCs w:val="26"/>
                        </w:rPr>
                      </w:pPr>
                      <w:r w:rsidRPr="00EF544A">
                        <w:rPr>
                          <w:rFonts w:ascii="IBM Plex Sans" w:hAnsi="IBM Plex Sans"/>
                          <w:b/>
                          <w:color w:val="011979" w:themeColor="accent2"/>
                          <w:sz w:val="24"/>
                          <w:szCs w:val="24"/>
                        </w:rPr>
                        <w:t>ChatGPT’ye sor</w:t>
                      </w:r>
                    </w:p>
                    <w:p w14:paraId="38EE1E41" w14:textId="77777777" w:rsidR="00D27D47" w:rsidRPr="00D27D47" w:rsidRDefault="00D27D47" w:rsidP="00D27D47">
                      <w:pPr>
                        <w:rPr>
                          <w:rFonts w:ascii="IBM Plex Sans" w:hAnsi="IBM Plex Sans"/>
                          <w:b/>
                          <w:color w:val="011979" w:themeColor="accent2"/>
                          <w:sz w:val="26"/>
                          <w:szCs w:val="26"/>
                        </w:rPr>
                      </w:pPr>
                    </w:p>
                    <w:p w14:paraId="220B66D3" w14:textId="77777777" w:rsidR="00D27D47" w:rsidRPr="00D27D47" w:rsidRDefault="00D27D47" w:rsidP="00D27D47">
                      <w:pPr>
                        <w:rPr>
                          <w:rFonts w:ascii="IBM Plex Sans" w:hAnsi="IBM Plex Sans"/>
                          <w:b/>
                          <w:color w:val="011979" w:themeColor="accent2"/>
                          <w:sz w:val="26"/>
                          <w:szCs w:val="26"/>
                        </w:rPr>
                      </w:pPr>
                    </w:p>
                    <w:p w14:paraId="2A7483DF" w14:textId="77777777" w:rsidR="00D27D47" w:rsidRPr="00D27D47" w:rsidRDefault="00D27D47" w:rsidP="00D27D47">
                      <w:pPr>
                        <w:rPr>
                          <w:rFonts w:ascii="IBM Plex Sans" w:hAnsi="IBM Plex Sans"/>
                          <w:b/>
                          <w:color w:val="011979" w:themeColor="accent2"/>
                          <w:sz w:val="26"/>
                          <w:szCs w:val="26"/>
                        </w:rPr>
                      </w:pPr>
                    </w:p>
                    <w:p w14:paraId="2BEDAB5F" w14:textId="2645278F" w:rsidR="00FA055D" w:rsidRPr="00CC7F51" w:rsidRDefault="00FA055D" w:rsidP="00FA055D">
                      <w:pPr>
                        <w:rPr>
                          <w:rFonts w:ascii="IBM Plex Sans" w:hAnsi="IBM Plex Sans"/>
                          <w:b/>
                          <w:color w:val="011979" w:themeColor="accent2"/>
                          <w:sz w:val="26"/>
                          <w:szCs w:val="26"/>
                        </w:rPr>
                      </w:pPr>
                    </w:p>
                  </w:txbxContent>
                </v:textbox>
                <w10:wrap anchorx="page"/>
              </v:shape>
            </w:pict>
          </mc:Fallback>
        </mc:AlternateContent>
      </w:r>
      <w:r w:rsidR="00700E6A" w:rsidRPr="00F442CF">
        <w:rPr>
          <w:noProof/>
          <w:lang w:eastAsia="tr-TR"/>
        </w:rPr>
        <mc:AlternateContent>
          <mc:Choice Requires="wps">
            <w:drawing>
              <wp:anchor distT="0" distB="0" distL="114300" distR="114300" simplePos="0" relativeHeight="251666432" behindDoc="0" locked="0" layoutInCell="1" allowOverlap="1" wp14:anchorId="0428FB70" wp14:editId="50AFACC8">
                <wp:simplePos x="0" y="0"/>
                <wp:positionH relativeFrom="margin">
                  <wp:posOffset>-367996</wp:posOffset>
                </wp:positionH>
                <wp:positionV relativeFrom="paragraph">
                  <wp:posOffset>-977320</wp:posOffset>
                </wp:positionV>
                <wp:extent cx="6011186" cy="672465"/>
                <wp:effectExtent l="0" t="0" r="0" b="0"/>
                <wp:wrapNone/>
                <wp:docPr id="3" name="Metin Kutusu 3"/>
                <wp:cNvGraphicFramePr/>
                <a:graphic xmlns:a="http://schemas.openxmlformats.org/drawingml/2006/main">
                  <a:graphicData uri="http://schemas.microsoft.com/office/word/2010/wordprocessingShape">
                    <wps:wsp>
                      <wps:cNvSpPr txBox="1"/>
                      <wps:spPr>
                        <a:xfrm>
                          <a:off x="0" y="0"/>
                          <a:ext cx="6011186" cy="67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6BCCB" w14:textId="6C5A96EE" w:rsidR="00886119" w:rsidRPr="00726F6E" w:rsidRDefault="00A23759" w:rsidP="0060315F">
                            <w:pPr>
                              <w:spacing w:after="0" w:line="216" w:lineRule="auto"/>
                              <w:rPr>
                                <w:b/>
                                <w:color w:val="FFFFFF" w:themeColor="background1"/>
                                <w:sz w:val="40"/>
                                <w:szCs w:val="40"/>
                              </w:rPr>
                            </w:pPr>
                            <w:r>
                              <w:rPr>
                                <w:b/>
                                <w:color w:val="FFFFFF" w:themeColor="background1"/>
                                <w:sz w:val="40"/>
                                <w:szCs w:val="40"/>
                              </w:rPr>
                              <w:t>Ekim 2025 Enflasyon Görünümü</w:t>
                            </w:r>
                            <w:r w:rsidR="00662047">
                              <w:rPr>
                                <w:b/>
                                <w:color w:val="FFFFFF" w:themeColor="background1"/>
                                <w:sz w:val="40"/>
                                <w:szCs w:val="4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8FB70" id="Metin Kutusu 3" o:spid="_x0000_s1030" type="#_x0000_t202" style="position:absolute;margin-left:-29pt;margin-top:-76.95pt;width:473.3pt;height:52.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" filled="f" stroked="f" strokeweight=".5pt">
                <v:textbox>
                  <w:txbxContent>
                    <w:p w14:paraId="2336BCCB" w14:textId="6C5A96EE" w:rsidR="00886119" w:rsidRPr="00726F6E" w:rsidRDefault="00A23759" w:rsidP="0060315F">
                      <w:pPr>
                        <w:spacing w:after="0" w:line="216" w:lineRule="auto"/>
                        <w:rPr>
                          <w:b/>
                          <w:color w:val="FFFFFF" w:themeColor="background1"/>
                          <w:sz w:val="40"/>
                          <w:szCs w:val="40"/>
                        </w:rPr>
                      </w:pPr>
                      <w:r>
                        <w:rPr>
                          <w:b/>
                          <w:color w:val="FFFFFF" w:themeColor="background1"/>
                          <w:sz w:val="40"/>
                          <w:szCs w:val="40"/>
                        </w:rPr>
                        <w:t>Ekim 2025 Enflasyon Görünümü</w:t>
                      </w:r>
                      <w:r w:rsidR="00662047">
                        <w:rPr>
                          <w:b/>
                          <w:color w:val="FFFFFF" w:themeColor="background1"/>
                          <w:sz w:val="40"/>
                          <w:szCs w:val="40"/>
                        </w:rPr>
                        <w:tab/>
                      </w:r>
                    </w:p>
                  </w:txbxContent>
                </v:textbox>
                <w10:wrap anchorx="margin"/>
              </v:shape>
            </w:pict>
          </mc:Fallback>
        </mc:AlternateContent>
      </w:r>
    </w:p>
    <w:p w14:paraId="74723F08" w14:textId="5785BDF0" w:rsidR="00831CCE" w:rsidRPr="00831CCE" w:rsidRDefault="00831CCE" w:rsidP="00831CCE"/>
    <w:p w14:paraId="5DE90F4A" w14:textId="3F1BEEBE" w:rsidR="00831CCE" w:rsidRPr="00831CCE" w:rsidRDefault="00831CCE" w:rsidP="00831CCE"/>
    <w:p w14:paraId="50FC6D9D" w14:textId="057A3613" w:rsidR="00831CCE" w:rsidRPr="00FA055D" w:rsidRDefault="00831CCE" w:rsidP="00FA055D">
      <w:pPr>
        <w:jc w:val="center"/>
        <w:rPr>
          <w:rFonts w:ascii="IBM Plex Sans" w:hAnsi="IBM Plex Sans"/>
        </w:rPr>
      </w:pPr>
    </w:p>
    <w:p w14:paraId="7F05F0CE" w14:textId="5FB28A87" w:rsidR="00831CCE" w:rsidRDefault="00831CCE" w:rsidP="00831CCE"/>
    <w:p w14:paraId="21F407B3" w14:textId="1ED6231C" w:rsidR="007E41D3" w:rsidRDefault="00831CCE" w:rsidP="00831CCE">
      <w:pPr>
        <w:tabs>
          <w:tab w:val="left" w:pos="6825"/>
        </w:tabs>
      </w:pPr>
      <w:r>
        <w:tab/>
      </w:r>
    </w:p>
    <w:p w14:paraId="29D8110E" w14:textId="42078A71" w:rsidR="00FA055D" w:rsidRDefault="00FA055D" w:rsidP="00831CCE">
      <w:pPr>
        <w:tabs>
          <w:tab w:val="left" w:pos="6825"/>
        </w:tabs>
      </w:pPr>
    </w:p>
    <w:p w14:paraId="6113144F" w14:textId="63A41019" w:rsidR="00FA055D" w:rsidRDefault="00FA055D" w:rsidP="00831CCE">
      <w:pPr>
        <w:tabs>
          <w:tab w:val="left" w:pos="6825"/>
        </w:tabs>
      </w:pPr>
    </w:p>
    <w:p w14:paraId="33FF0CD1" w14:textId="3E03BE91" w:rsidR="00FA055D" w:rsidRDefault="00FA055D" w:rsidP="00831CCE">
      <w:pPr>
        <w:tabs>
          <w:tab w:val="left" w:pos="6825"/>
        </w:tabs>
      </w:pPr>
    </w:p>
    <w:p w14:paraId="5A9B79E7" w14:textId="6B70CA3F" w:rsidR="00FA055D" w:rsidRDefault="00FA055D" w:rsidP="00831CCE">
      <w:pPr>
        <w:tabs>
          <w:tab w:val="left" w:pos="6825"/>
        </w:tabs>
      </w:pPr>
    </w:p>
    <w:p w14:paraId="19A073CE" w14:textId="547D9FE6" w:rsidR="00FA055D" w:rsidRDefault="00FA055D" w:rsidP="00831CCE">
      <w:pPr>
        <w:tabs>
          <w:tab w:val="left" w:pos="6825"/>
        </w:tabs>
      </w:pPr>
    </w:p>
    <w:p w14:paraId="3B8753FE" w14:textId="654CECB1" w:rsidR="00FA055D" w:rsidRDefault="00FA055D" w:rsidP="00831CCE">
      <w:pPr>
        <w:tabs>
          <w:tab w:val="left" w:pos="6825"/>
        </w:tabs>
      </w:pPr>
    </w:p>
    <w:p w14:paraId="51AE0CEA" w14:textId="55B56D05" w:rsidR="00FA055D" w:rsidRDefault="00FA055D" w:rsidP="00831CCE">
      <w:pPr>
        <w:tabs>
          <w:tab w:val="left" w:pos="6825"/>
        </w:tabs>
      </w:pPr>
    </w:p>
    <w:p w14:paraId="1D325E74" w14:textId="5FDE0C08" w:rsidR="00FA055D" w:rsidRDefault="00FA055D" w:rsidP="00831CCE">
      <w:pPr>
        <w:tabs>
          <w:tab w:val="left" w:pos="6825"/>
        </w:tabs>
      </w:pPr>
    </w:p>
    <w:p w14:paraId="305E3BC4" w14:textId="17F5D23B" w:rsidR="00FA055D" w:rsidRDefault="003E08B2" w:rsidP="00831CCE">
      <w:pPr>
        <w:tabs>
          <w:tab w:val="left" w:pos="6825"/>
        </w:tabs>
      </w:pPr>
      <w:r>
        <w:rPr>
          <w:noProof/>
          <w:lang w:eastAsia="tr-TR"/>
        </w:rPr>
        <w:drawing>
          <wp:inline distT="0" distB="0" distL="0" distR="0" wp14:anchorId="1F9BFCB5" wp14:editId="1EEF5BCB">
            <wp:extent cx="2028825" cy="4762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8825" cy="476250"/>
                    </a:xfrm>
                    <a:prstGeom prst="rect">
                      <a:avLst/>
                    </a:prstGeom>
                  </pic:spPr>
                </pic:pic>
              </a:graphicData>
            </a:graphic>
          </wp:inline>
        </w:drawing>
      </w:r>
    </w:p>
    <w:p w14:paraId="2A27ADD0" w14:textId="1171C6B1" w:rsidR="00FA055D" w:rsidRDefault="00FA055D" w:rsidP="00831CCE">
      <w:pPr>
        <w:tabs>
          <w:tab w:val="left" w:pos="6825"/>
        </w:tabs>
      </w:pPr>
    </w:p>
    <w:p w14:paraId="4F43D5B6" w14:textId="78F2FD21" w:rsidR="00FA055D" w:rsidRDefault="00FA055D" w:rsidP="00831CCE">
      <w:pPr>
        <w:tabs>
          <w:tab w:val="left" w:pos="6825"/>
        </w:tabs>
      </w:pPr>
    </w:p>
    <w:p w14:paraId="786A7617" w14:textId="5E3FD887" w:rsidR="00FA055D" w:rsidRDefault="00FA055D" w:rsidP="00831CCE">
      <w:pPr>
        <w:tabs>
          <w:tab w:val="left" w:pos="6825"/>
        </w:tabs>
      </w:pPr>
    </w:p>
    <w:p w14:paraId="27413B6E" w14:textId="4CD003AE" w:rsidR="00FA055D" w:rsidRDefault="00FA055D" w:rsidP="00831CCE">
      <w:pPr>
        <w:tabs>
          <w:tab w:val="left" w:pos="6825"/>
        </w:tabs>
      </w:pPr>
    </w:p>
    <w:p w14:paraId="0C91B42B" w14:textId="694824A2" w:rsidR="00FA055D" w:rsidRDefault="00FA055D" w:rsidP="00831CCE">
      <w:pPr>
        <w:tabs>
          <w:tab w:val="left" w:pos="6825"/>
        </w:tabs>
      </w:pPr>
    </w:p>
    <w:p w14:paraId="71AB27FF" w14:textId="7BB39953" w:rsidR="00157EE8" w:rsidRDefault="004A29A1" w:rsidP="00831CCE">
      <w:pPr>
        <w:tabs>
          <w:tab w:val="left" w:pos="6825"/>
        </w:tabs>
      </w:pPr>
      <w:r w:rsidRPr="00E47E64">
        <w:rPr>
          <w:rFonts w:asciiTheme="majorHAnsi" w:hAnsiTheme="majorHAnsi"/>
          <w:i/>
          <w:iCs/>
          <w:sz w:val="14"/>
          <w:szCs w:val="14"/>
        </w:rPr>
        <w:t xml:space="preserve">* </w:t>
      </w:r>
      <w:r w:rsidRPr="00604A15">
        <w:rPr>
          <w:rFonts w:asciiTheme="majorHAnsi" w:hAnsiTheme="majorHAnsi"/>
          <w:i/>
          <w:iCs/>
          <w:sz w:val="14"/>
          <w:szCs w:val="14"/>
        </w:rPr>
        <w:t>takvim etkisi ve mevsimsellikten arındırılmış</w:t>
      </w:r>
      <w:r>
        <w:rPr>
          <w:rFonts w:asciiTheme="majorHAnsi" w:hAnsiTheme="majorHAnsi"/>
          <w:i/>
          <w:iCs/>
          <w:sz w:val="14"/>
          <w:szCs w:val="14"/>
        </w:rPr>
        <w:t xml:space="preserve">, </w:t>
      </w:r>
      <w:r w:rsidRPr="00E47E64">
        <w:rPr>
          <w:rFonts w:asciiTheme="majorHAnsi" w:hAnsiTheme="majorHAnsi"/>
          <w:i/>
          <w:iCs/>
          <w:sz w:val="14"/>
          <w:szCs w:val="14"/>
        </w:rPr>
        <w:t>3 aylık har</w:t>
      </w:r>
      <w:r>
        <w:rPr>
          <w:rFonts w:asciiTheme="majorHAnsi" w:hAnsiTheme="majorHAnsi"/>
          <w:i/>
          <w:iCs/>
          <w:sz w:val="14"/>
          <w:szCs w:val="14"/>
        </w:rPr>
        <w:t>. o</w:t>
      </w:r>
      <w:r w:rsidRPr="00E47E64">
        <w:rPr>
          <w:rFonts w:asciiTheme="majorHAnsi" w:hAnsiTheme="majorHAnsi"/>
          <w:i/>
          <w:iCs/>
          <w:sz w:val="14"/>
          <w:szCs w:val="14"/>
        </w:rPr>
        <w:t>rt</w:t>
      </w:r>
      <w:r>
        <w:t xml:space="preserve">         </w:t>
      </w:r>
    </w:p>
    <w:p w14:paraId="05E4E11E" w14:textId="521AA069" w:rsidR="00157EE8" w:rsidRDefault="000A163F" w:rsidP="000A163F">
      <w:pPr>
        <w:tabs>
          <w:tab w:val="left" w:pos="6825"/>
        </w:tabs>
      </w:pPr>
      <w:r>
        <w:t xml:space="preserve">                                                                                                                                                         </w:t>
      </w:r>
    </w:p>
    <w:p w14:paraId="79CE4E11" w14:textId="3C8E098F" w:rsidR="00157EE8" w:rsidRDefault="00FB4D16" w:rsidP="00831CCE">
      <w:pPr>
        <w:tabs>
          <w:tab w:val="left" w:pos="6825"/>
        </w:tabs>
      </w:pPr>
      <w:r w:rsidRPr="003814E1">
        <w:rPr>
          <w:noProof/>
        </w:rPr>
        <mc:AlternateContent>
          <mc:Choice Requires="wps">
            <w:drawing>
              <wp:anchor distT="45720" distB="45720" distL="114300" distR="114300" simplePos="0" relativeHeight="251687936" behindDoc="0" locked="0" layoutInCell="1" allowOverlap="1" wp14:anchorId="5FCCA754" wp14:editId="2C754A82">
                <wp:simplePos x="0" y="0"/>
                <wp:positionH relativeFrom="page">
                  <wp:posOffset>6007100</wp:posOffset>
                </wp:positionH>
                <wp:positionV relativeFrom="paragraph">
                  <wp:posOffset>156845</wp:posOffset>
                </wp:positionV>
                <wp:extent cx="1661160" cy="800100"/>
                <wp:effectExtent l="0" t="0" r="0" b="0"/>
                <wp:wrapNone/>
                <wp:docPr id="15302789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800100"/>
                        </a:xfrm>
                        <a:prstGeom prst="rect">
                          <a:avLst/>
                        </a:prstGeom>
                        <a:noFill/>
                        <a:ln w="9525">
                          <a:noFill/>
                          <a:miter lim="800000"/>
                          <a:headEnd/>
                          <a:tailEnd/>
                        </a:ln>
                      </wps:spPr>
                      <wps:txbx>
                        <w:txbxContent>
                          <w:p w14:paraId="0E8F0CCB" w14:textId="0BFEED88" w:rsidR="00363202" w:rsidRDefault="00363202" w:rsidP="00363202">
                            <w:pPr>
                              <w:spacing w:after="0" w:line="240" w:lineRule="auto"/>
                              <w:ind w:right="138"/>
                              <w:rPr>
                                <w:b/>
                                <w:bCs/>
                                <w:color w:val="0435F9" w:themeColor="accent1"/>
                              </w:rPr>
                            </w:pPr>
                            <w:r>
                              <w:rPr>
                                <w:b/>
                                <w:color w:val="0435F9" w:themeColor="accent1"/>
                              </w:rPr>
                              <w:t>B</w:t>
                            </w:r>
                            <w:r w:rsidR="00FB4D16">
                              <w:rPr>
                                <w:b/>
                                <w:color w:val="0435F9" w:themeColor="accent1"/>
                              </w:rPr>
                              <w:t>ora</w:t>
                            </w:r>
                            <w:r>
                              <w:rPr>
                                <w:b/>
                                <w:color w:val="0435F9" w:themeColor="accent1"/>
                              </w:rPr>
                              <w:t xml:space="preserve"> </w:t>
                            </w:r>
                            <w:r w:rsidR="00FB4D16">
                              <w:rPr>
                                <w:b/>
                                <w:color w:val="0435F9" w:themeColor="accent1"/>
                              </w:rPr>
                              <w:t>Kaya</w:t>
                            </w:r>
                          </w:p>
                          <w:p w14:paraId="20EA8531" w14:textId="38AF24CB" w:rsidR="00363202" w:rsidRPr="002C4A1B" w:rsidRDefault="00363202" w:rsidP="00363202">
                            <w:pPr>
                              <w:spacing w:after="0" w:line="240" w:lineRule="auto"/>
                              <w:ind w:right="138"/>
                              <w:rPr>
                                <w:b/>
                                <w:bCs/>
                                <w:color w:val="545454" w:themeColor="text1" w:themeTint="BF"/>
                              </w:rPr>
                            </w:pPr>
                            <w:r>
                              <w:rPr>
                                <w:b/>
                                <w:color w:val="545454" w:themeColor="text1" w:themeTint="BF"/>
                              </w:rPr>
                              <w:t>Araştırma Uzman</w:t>
                            </w:r>
                            <w:r w:rsidR="00FB4D16">
                              <w:rPr>
                                <w:b/>
                                <w:color w:val="545454" w:themeColor="text1" w:themeTint="BF"/>
                              </w:rPr>
                              <w:t xml:space="preserve"> Yrd.</w:t>
                            </w:r>
                          </w:p>
                          <w:p w14:paraId="60045A2D" w14:textId="23BAF057" w:rsidR="00363202" w:rsidRPr="00363202" w:rsidRDefault="00363202" w:rsidP="00363202">
                            <w:pPr>
                              <w:pStyle w:val="AltBilgi"/>
                              <w:spacing w:before="50"/>
                              <w:ind w:right="138"/>
                              <w:rPr>
                                <w:rFonts w:asciiTheme="majorHAnsi" w:hAnsiTheme="majorHAnsi"/>
                                <w:sz w:val="16"/>
                                <w:szCs w:val="16"/>
                              </w:rPr>
                            </w:pPr>
                            <w:r>
                              <w:rPr>
                                <w:rFonts w:asciiTheme="majorHAnsi" w:hAnsiTheme="majorHAnsi"/>
                                <w:color w:val="414042"/>
                                <w:sz w:val="16"/>
                                <w:szCs w:val="16"/>
                              </w:rPr>
                              <w:t>b</w:t>
                            </w:r>
                            <w:r w:rsidR="00FB4D16">
                              <w:rPr>
                                <w:rFonts w:asciiTheme="majorHAnsi" w:hAnsiTheme="majorHAnsi"/>
                                <w:color w:val="414042"/>
                                <w:sz w:val="16"/>
                                <w:szCs w:val="16"/>
                              </w:rPr>
                              <w:t>ora</w:t>
                            </w:r>
                            <w:r w:rsidRPr="00363202">
                              <w:rPr>
                                <w:rFonts w:asciiTheme="majorHAnsi" w:hAnsiTheme="majorHAnsi"/>
                                <w:color w:val="414042"/>
                                <w:sz w:val="16"/>
                                <w:szCs w:val="16"/>
                              </w:rPr>
                              <w:t>.</w:t>
                            </w:r>
                            <w:r w:rsidR="00FB4D16">
                              <w:rPr>
                                <w:rFonts w:asciiTheme="majorHAnsi" w:hAnsiTheme="majorHAnsi"/>
                                <w:color w:val="414042"/>
                                <w:sz w:val="16"/>
                                <w:szCs w:val="16"/>
                              </w:rPr>
                              <w:t>kaya</w:t>
                            </w:r>
                            <w:r w:rsidRPr="00363202">
                              <w:rPr>
                                <w:rFonts w:asciiTheme="majorHAnsi" w:hAnsiTheme="majorHAnsi"/>
                                <w:color w:val="414042"/>
                                <w:sz w:val="16"/>
                                <w:szCs w:val="16"/>
                              </w:rPr>
                              <w:t xml:space="preserve">@gedik.com </w:t>
                            </w:r>
                          </w:p>
                          <w:p w14:paraId="22046517" w14:textId="37A13F2A" w:rsidR="00363202" w:rsidRPr="00363202" w:rsidRDefault="00363202" w:rsidP="00363202">
                            <w:pPr>
                              <w:spacing w:after="0"/>
                              <w:ind w:right="138"/>
                              <w:rPr>
                                <w:sz w:val="16"/>
                                <w:szCs w:val="16"/>
                              </w:rPr>
                            </w:pPr>
                            <w:r w:rsidRPr="00363202">
                              <w:rPr>
                                <w:sz w:val="16"/>
                                <w:szCs w:val="16"/>
                              </w:rPr>
                              <w:t xml:space="preserve">+90 216 453 00 00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CA754" id="_x0000_s1031" type="#_x0000_t202" style="position:absolute;margin-left:473pt;margin-top:12.35pt;width:130.8pt;height:63pt;z-index:2516879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" filled="f" stroked="f">
                <v:textbox>
                  <w:txbxContent>
                    <w:p w14:paraId="0E8F0CCB" w14:textId="0BFEED88" w:rsidR="00363202" w:rsidRDefault="00363202" w:rsidP="00363202">
                      <w:pPr>
                        <w:spacing w:after="0" w:line="240" w:lineRule="auto"/>
                        <w:ind w:right="138"/>
                        <w:rPr>
                          <w:b/>
                          <w:bCs/>
                          <w:color w:val="0435F9" w:themeColor="accent1"/>
                        </w:rPr>
                      </w:pPr>
                      <w:r>
                        <w:rPr>
                          <w:b/>
                          <w:color w:val="0435F9" w:themeColor="accent1"/>
                        </w:rPr>
                        <w:t>B</w:t>
                      </w:r>
                      <w:r w:rsidR="00FB4D16">
                        <w:rPr>
                          <w:b/>
                          <w:color w:val="0435F9" w:themeColor="accent1"/>
                        </w:rPr>
                        <w:t>ora</w:t>
                      </w:r>
                      <w:r>
                        <w:rPr>
                          <w:b/>
                          <w:color w:val="0435F9" w:themeColor="accent1"/>
                        </w:rPr>
                        <w:t xml:space="preserve"> </w:t>
                      </w:r>
                      <w:r w:rsidR="00FB4D16">
                        <w:rPr>
                          <w:b/>
                          <w:color w:val="0435F9" w:themeColor="accent1"/>
                        </w:rPr>
                        <w:t>Kaya</w:t>
                      </w:r>
                    </w:p>
                    <w:p w14:paraId="20EA8531" w14:textId="38AF24CB" w:rsidR="00363202" w:rsidRPr="002C4A1B" w:rsidRDefault="00363202" w:rsidP="00363202">
                      <w:pPr>
                        <w:spacing w:after="0" w:line="240" w:lineRule="auto"/>
                        <w:ind w:right="138"/>
                        <w:rPr>
                          <w:b/>
                          <w:bCs/>
                          <w:color w:val="545454" w:themeColor="text1" w:themeTint="BF"/>
                        </w:rPr>
                      </w:pPr>
                      <w:r>
                        <w:rPr>
                          <w:b/>
                          <w:color w:val="545454" w:themeColor="text1" w:themeTint="BF"/>
                        </w:rPr>
                        <w:t>Araştırma Uzman</w:t>
                      </w:r>
                      <w:r w:rsidR="00FB4D16">
                        <w:rPr>
                          <w:b/>
                          <w:color w:val="545454" w:themeColor="text1" w:themeTint="BF"/>
                        </w:rPr>
                        <w:t xml:space="preserve"> Yrd.</w:t>
                      </w:r>
                    </w:p>
                    <w:p w14:paraId="60045A2D" w14:textId="23BAF057" w:rsidR="00363202" w:rsidRPr="00363202" w:rsidRDefault="00363202" w:rsidP="00363202">
                      <w:pPr>
                        <w:pStyle w:val="AltBilgi"/>
                        <w:spacing w:before="50"/>
                        <w:ind w:right="138"/>
                        <w:rPr>
                          <w:rFonts w:asciiTheme="majorHAnsi" w:hAnsiTheme="majorHAnsi"/>
                          <w:sz w:val="16"/>
                          <w:szCs w:val="16"/>
                        </w:rPr>
                      </w:pPr>
                      <w:r>
                        <w:rPr>
                          <w:rFonts w:asciiTheme="majorHAnsi" w:hAnsiTheme="majorHAnsi"/>
                          <w:color w:val="414042"/>
                          <w:sz w:val="16"/>
                          <w:szCs w:val="16"/>
                        </w:rPr>
                        <w:t>b</w:t>
                      </w:r>
                      <w:r w:rsidR="00FB4D16">
                        <w:rPr>
                          <w:rFonts w:asciiTheme="majorHAnsi" w:hAnsiTheme="majorHAnsi"/>
                          <w:color w:val="414042"/>
                          <w:sz w:val="16"/>
                          <w:szCs w:val="16"/>
                        </w:rPr>
                        <w:t>ora</w:t>
                      </w:r>
                      <w:r w:rsidRPr="00363202">
                        <w:rPr>
                          <w:rFonts w:asciiTheme="majorHAnsi" w:hAnsiTheme="majorHAnsi"/>
                          <w:color w:val="414042"/>
                          <w:sz w:val="16"/>
                          <w:szCs w:val="16"/>
                        </w:rPr>
                        <w:t>.</w:t>
                      </w:r>
                      <w:r w:rsidR="00FB4D16">
                        <w:rPr>
                          <w:rFonts w:asciiTheme="majorHAnsi" w:hAnsiTheme="majorHAnsi"/>
                          <w:color w:val="414042"/>
                          <w:sz w:val="16"/>
                          <w:szCs w:val="16"/>
                        </w:rPr>
                        <w:t>kaya</w:t>
                      </w:r>
                      <w:r w:rsidRPr="00363202">
                        <w:rPr>
                          <w:rFonts w:asciiTheme="majorHAnsi" w:hAnsiTheme="majorHAnsi"/>
                          <w:color w:val="414042"/>
                          <w:sz w:val="16"/>
                          <w:szCs w:val="16"/>
                        </w:rPr>
                        <w:t xml:space="preserve">@gedik.com </w:t>
                      </w:r>
                    </w:p>
                    <w:p w14:paraId="22046517" w14:textId="37A13F2A" w:rsidR="00363202" w:rsidRPr="00363202" w:rsidRDefault="00363202" w:rsidP="00363202">
                      <w:pPr>
                        <w:spacing w:after="0"/>
                        <w:ind w:right="138"/>
                        <w:rPr>
                          <w:sz w:val="16"/>
                          <w:szCs w:val="16"/>
                        </w:rPr>
                      </w:pPr>
                      <w:r w:rsidRPr="00363202">
                        <w:rPr>
                          <w:sz w:val="16"/>
                          <w:szCs w:val="16"/>
                        </w:rPr>
                        <w:t xml:space="preserve">+90 216 453 00 00 </w:t>
                      </w:r>
                    </w:p>
                  </w:txbxContent>
                </v:textbox>
                <w10:wrap anchorx="page"/>
              </v:shape>
            </w:pict>
          </mc:Fallback>
        </mc:AlternateContent>
      </w:r>
      <w:r w:rsidRPr="003814E1">
        <w:rPr>
          <w:noProof/>
        </w:rPr>
        <mc:AlternateContent>
          <mc:Choice Requires="wps">
            <w:drawing>
              <wp:anchor distT="45720" distB="45720" distL="114300" distR="114300" simplePos="0" relativeHeight="251689984" behindDoc="0" locked="0" layoutInCell="1" allowOverlap="1" wp14:anchorId="4CA0B7DA" wp14:editId="5663724A">
                <wp:simplePos x="0" y="0"/>
                <wp:positionH relativeFrom="page">
                  <wp:posOffset>4582795</wp:posOffset>
                </wp:positionH>
                <wp:positionV relativeFrom="paragraph">
                  <wp:posOffset>160020</wp:posOffset>
                </wp:positionV>
                <wp:extent cx="1661160" cy="8001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800100"/>
                        </a:xfrm>
                        <a:prstGeom prst="rect">
                          <a:avLst/>
                        </a:prstGeom>
                        <a:noFill/>
                        <a:ln w="9525">
                          <a:noFill/>
                          <a:miter lim="800000"/>
                          <a:headEnd/>
                          <a:tailEnd/>
                        </a:ln>
                      </wps:spPr>
                      <wps:txbx>
                        <w:txbxContent>
                          <w:p w14:paraId="36A6D441" w14:textId="77777777" w:rsidR="00FB4D16" w:rsidRDefault="00FB4D16" w:rsidP="00FB4D16">
                            <w:pPr>
                              <w:spacing w:after="0" w:line="240" w:lineRule="auto"/>
                              <w:ind w:right="138"/>
                              <w:rPr>
                                <w:b/>
                                <w:bCs/>
                                <w:color w:val="0435F9" w:themeColor="accent1"/>
                              </w:rPr>
                            </w:pPr>
                            <w:r>
                              <w:rPr>
                                <w:b/>
                                <w:color w:val="0435F9" w:themeColor="accent1"/>
                              </w:rPr>
                              <w:t>Burak Pırlanta</w:t>
                            </w:r>
                          </w:p>
                          <w:p w14:paraId="3929A319" w14:textId="77777777" w:rsidR="00FB4D16" w:rsidRPr="002C4A1B" w:rsidRDefault="00FB4D16" w:rsidP="00FB4D16">
                            <w:pPr>
                              <w:spacing w:after="0" w:line="240" w:lineRule="auto"/>
                              <w:ind w:right="138"/>
                              <w:rPr>
                                <w:b/>
                                <w:bCs/>
                                <w:color w:val="545454" w:themeColor="text1" w:themeTint="BF"/>
                              </w:rPr>
                            </w:pPr>
                            <w:r>
                              <w:rPr>
                                <w:b/>
                                <w:color w:val="545454" w:themeColor="text1" w:themeTint="BF"/>
                              </w:rPr>
                              <w:t>Araştırma Uzmanı</w:t>
                            </w:r>
                          </w:p>
                          <w:p w14:paraId="0D62B5A0" w14:textId="77777777" w:rsidR="00FB4D16" w:rsidRPr="00363202" w:rsidRDefault="00FB4D16" w:rsidP="00FB4D16">
                            <w:pPr>
                              <w:pStyle w:val="AltBilgi"/>
                              <w:spacing w:before="50"/>
                              <w:ind w:right="138"/>
                              <w:rPr>
                                <w:rFonts w:asciiTheme="majorHAnsi" w:hAnsiTheme="majorHAnsi"/>
                                <w:sz w:val="16"/>
                                <w:szCs w:val="16"/>
                              </w:rPr>
                            </w:pPr>
                            <w:r>
                              <w:rPr>
                                <w:rFonts w:asciiTheme="majorHAnsi" w:hAnsiTheme="majorHAnsi"/>
                                <w:color w:val="414042"/>
                                <w:sz w:val="16"/>
                                <w:szCs w:val="16"/>
                              </w:rPr>
                              <w:t>burak</w:t>
                            </w:r>
                            <w:r w:rsidRPr="00363202">
                              <w:rPr>
                                <w:rFonts w:asciiTheme="majorHAnsi" w:hAnsiTheme="majorHAnsi"/>
                                <w:color w:val="414042"/>
                                <w:sz w:val="16"/>
                                <w:szCs w:val="16"/>
                              </w:rPr>
                              <w:t>.</w:t>
                            </w:r>
                            <w:r>
                              <w:rPr>
                                <w:rFonts w:asciiTheme="majorHAnsi" w:hAnsiTheme="majorHAnsi"/>
                                <w:color w:val="414042"/>
                                <w:sz w:val="16"/>
                                <w:szCs w:val="16"/>
                              </w:rPr>
                              <w:t>pirlanta</w:t>
                            </w:r>
                            <w:r w:rsidRPr="00363202">
                              <w:rPr>
                                <w:rFonts w:asciiTheme="majorHAnsi" w:hAnsiTheme="majorHAnsi"/>
                                <w:color w:val="414042"/>
                                <w:sz w:val="16"/>
                                <w:szCs w:val="16"/>
                              </w:rPr>
                              <w:t xml:space="preserve">@gedik.com </w:t>
                            </w:r>
                          </w:p>
                          <w:p w14:paraId="1EDE6FCD" w14:textId="77777777" w:rsidR="00FB4D16" w:rsidRPr="00363202" w:rsidRDefault="00FB4D16" w:rsidP="00FB4D16">
                            <w:pPr>
                              <w:spacing w:after="0"/>
                              <w:ind w:right="138"/>
                              <w:rPr>
                                <w:sz w:val="16"/>
                                <w:szCs w:val="16"/>
                              </w:rPr>
                            </w:pPr>
                            <w:r w:rsidRPr="00363202">
                              <w:rPr>
                                <w:sz w:val="16"/>
                                <w:szCs w:val="16"/>
                              </w:rPr>
                              <w:t xml:space="preserve">+90 216 453 00 00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0B7DA" id="_x0000_s1032" type="#_x0000_t202" style="position:absolute;margin-left:360.85pt;margin-top:12.6pt;width:130.8pt;height:63pt;z-index:251689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" filled="f" stroked="f">
                <v:textbox>
                  <w:txbxContent>
                    <w:p w14:paraId="36A6D441" w14:textId="77777777" w:rsidR="00FB4D16" w:rsidRDefault="00FB4D16" w:rsidP="00FB4D16">
                      <w:pPr>
                        <w:spacing w:after="0" w:line="240" w:lineRule="auto"/>
                        <w:ind w:right="138"/>
                        <w:rPr>
                          <w:b/>
                          <w:bCs/>
                          <w:color w:val="0435F9" w:themeColor="accent1"/>
                        </w:rPr>
                      </w:pPr>
                      <w:r>
                        <w:rPr>
                          <w:b/>
                          <w:color w:val="0435F9" w:themeColor="accent1"/>
                        </w:rPr>
                        <w:t>Burak Pırlanta</w:t>
                      </w:r>
                    </w:p>
                    <w:p w14:paraId="3929A319" w14:textId="77777777" w:rsidR="00FB4D16" w:rsidRPr="002C4A1B" w:rsidRDefault="00FB4D16" w:rsidP="00FB4D16">
                      <w:pPr>
                        <w:spacing w:after="0" w:line="240" w:lineRule="auto"/>
                        <w:ind w:right="138"/>
                        <w:rPr>
                          <w:b/>
                          <w:bCs/>
                          <w:color w:val="545454" w:themeColor="text1" w:themeTint="BF"/>
                        </w:rPr>
                      </w:pPr>
                      <w:r>
                        <w:rPr>
                          <w:b/>
                          <w:color w:val="545454" w:themeColor="text1" w:themeTint="BF"/>
                        </w:rPr>
                        <w:t>Araştırma Uzmanı</w:t>
                      </w:r>
                    </w:p>
                    <w:p w14:paraId="0D62B5A0" w14:textId="77777777" w:rsidR="00FB4D16" w:rsidRPr="00363202" w:rsidRDefault="00FB4D16" w:rsidP="00FB4D16">
                      <w:pPr>
                        <w:pStyle w:val="AltBilgi"/>
                        <w:spacing w:before="50"/>
                        <w:ind w:right="138"/>
                        <w:rPr>
                          <w:rFonts w:asciiTheme="majorHAnsi" w:hAnsiTheme="majorHAnsi"/>
                          <w:sz w:val="16"/>
                          <w:szCs w:val="16"/>
                        </w:rPr>
                      </w:pPr>
                      <w:r>
                        <w:rPr>
                          <w:rFonts w:asciiTheme="majorHAnsi" w:hAnsiTheme="majorHAnsi"/>
                          <w:color w:val="414042"/>
                          <w:sz w:val="16"/>
                          <w:szCs w:val="16"/>
                        </w:rPr>
                        <w:t>burak</w:t>
                      </w:r>
                      <w:r w:rsidRPr="00363202">
                        <w:rPr>
                          <w:rFonts w:asciiTheme="majorHAnsi" w:hAnsiTheme="majorHAnsi"/>
                          <w:color w:val="414042"/>
                          <w:sz w:val="16"/>
                          <w:szCs w:val="16"/>
                        </w:rPr>
                        <w:t>.</w:t>
                      </w:r>
                      <w:r>
                        <w:rPr>
                          <w:rFonts w:asciiTheme="majorHAnsi" w:hAnsiTheme="majorHAnsi"/>
                          <w:color w:val="414042"/>
                          <w:sz w:val="16"/>
                          <w:szCs w:val="16"/>
                        </w:rPr>
                        <w:t>pirlanta</w:t>
                      </w:r>
                      <w:r w:rsidRPr="00363202">
                        <w:rPr>
                          <w:rFonts w:asciiTheme="majorHAnsi" w:hAnsiTheme="majorHAnsi"/>
                          <w:color w:val="414042"/>
                          <w:sz w:val="16"/>
                          <w:szCs w:val="16"/>
                        </w:rPr>
                        <w:t xml:space="preserve">@gedik.com </w:t>
                      </w:r>
                    </w:p>
                    <w:p w14:paraId="1EDE6FCD" w14:textId="77777777" w:rsidR="00FB4D16" w:rsidRPr="00363202" w:rsidRDefault="00FB4D16" w:rsidP="00FB4D16">
                      <w:pPr>
                        <w:spacing w:after="0"/>
                        <w:ind w:right="138"/>
                        <w:rPr>
                          <w:sz w:val="16"/>
                          <w:szCs w:val="16"/>
                        </w:rPr>
                      </w:pPr>
                      <w:r w:rsidRPr="00363202">
                        <w:rPr>
                          <w:sz w:val="16"/>
                          <w:szCs w:val="16"/>
                        </w:rPr>
                        <w:t xml:space="preserve">+90 216 453 00 00 </w:t>
                      </w:r>
                    </w:p>
                  </w:txbxContent>
                </v:textbox>
                <w10:wrap anchorx="page"/>
              </v:shape>
            </w:pict>
          </mc:Fallback>
        </mc:AlternateContent>
      </w:r>
    </w:p>
    <w:p w14:paraId="621AA091" w14:textId="0351F50A" w:rsidR="00157EE8" w:rsidRDefault="00157EE8" w:rsidP="00831CCE">
      <w:pPr>
        <w:tabs>
          <w:tab w:val="left" w:pos="6825"/>
        </w:tabs>
      </w:pPr>
      <w:r w:rsidRPr="009F0943">
        <w:rPr>
          <w:noProof/>
        </w:rPr>
        <mc:AlternateContent>
          <mc:Choice Requires="wps">
            <w:drawing>
              <wp:anchor distT="0" distB="0" distL="114300" distR="114300" simplePos="0" relativeHeight="251683840" behindDoc="0" locked="0" layoutInCell="1" allowOverlap="1" wp14:anchorId="2DDC2050" wp14:editId="20E468A8">
                <wp:simplePos x="0" y="0"/>
                <wp:positionH relativeFrom="page">
                  <wp:posOffset>51435</wp:posOffset>
                </wp:positionH>
                <wp:positionV relativeFrom="paragraph">
                  <wp:posOffset>807720</wp:posOffset>
                </wp:positionV>
                <wp:extent cx="5019675" cy="257175"/>
                <wp:effectExtent l="0" t="0" r="0" b="0"/>
                <wp:wrapNone/>
                <wp:docPr id="10" name="Metin Kutusu 10"/>
                <wp:cNvGraphicFramePr/>
                <a:graphic xmlns:a="http://schemas.openxmlformats.org/drawingml/2006/main">
                  <a:graphicData uri="http://schemas.microsoft.com/office/word/2010/wordprocessingShape">
                    <wps:wsp>
                      <wps:cNvSpPr txBox="1"/>
                      <wps:spPr>
                        <a:xfrm>
                          <a:off x="0" y="0"/>
                          <a:ext cx="5019675" cy="257175"/>
                        </a:xfrm>
                        <a:prstGeom prst="rect">
                          <a:avLst/>
                        </a:prstGeom>
                        <a:noFill/>
                        <a:ln w="6350">
                          <a:noFill/>
                        </a:ln>
                      </wps:spPr>
                      <wps:txbx>
                        <w:txbxContent>
                          <w:p w14:paraId="006D79B1" w14:textId="77777777" w:rsidR="009F0943" w:rsidRPr="008077A6" w:rsidRDefault="009F0943" w:rsidP="009F0943">
                            <w:pPr>
                              <w:jc w:val="both"/>
                              <w:rPr>
                                <w:rFonts w:asciiTheme="majorHAnsi" w:eastAsia="Arial" w:hAnsiTheme="majorHAnsi"/>
                                <w:b/>
                                <w:bCs/>
                                <w:color w:val="414042"/>
                                <w:szCs w:val="16"/>
                              </w:rPr>
                            </w:pPr>
                            <w:r w:rsidRPr="008077A6">
                              <w:rPr>
                                <w:rFonts w:asciiTheme="majorHAnsi" w:eastAsia="Arial" w:hAnsiTheme="majorHAnsi"/>
                                <w:b/>
                                <w:color w:val="414042"/>
                                <w:szCs w:val="16"/>
                              </w:rPr>
                              <w:t>Lütfen raporun sonundaki yasal uyarıları göz önünde bulundurunuz.</w:t>
                            </w:r>
                          </w:p>
                          <w:p w14:paraId="02E238AC" w14:textId="77777777" w:rsidR="009F0943" w:rsidRPr="008077A6" w:rsidRDefault="009F0943" w:rsidP="009F0943">
                            <w:pPr>
                              <w:jc w:val="both"/>
                              <w:rPr>
                                <w:sz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C2050" id="Metin Kutusu 10" o:spid="_x0000_s1033" type="#_x0000_t202" style="position:absolute;margin-left:4.05pt;margin-top:63.6pt;width:395.25pt;height:20.2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" filled="f" stroked="f" strokeweight=".5pt">
                <v:textbox>
                  <w:txbxContent>
                    <w:p w14:paraId="006D79B1" w14:textId="77777777" w:rsidR="009F0943" w:rsidRPr="008077A6" w:rsidRDefault="009F0943" w:rsidP="009F0943">
                      <w:pPr>
                        <w:jc w:val="both"/>
                        <w:rPr>
                          <w:rFonts w:asciiTheme="majorHAnsi" w:eastAsia="Arial" w:hAnsiTheme="majorHAnsi"/>
                          <w:b/>
                          <w:bCs/>
                          <w:color w:val="414042"/>
                          <w:szCs w:val="16"/>
                        </w:rPr>
                      </w:pPr>
                      <w:r w:rsidRPr="008077A6">
                        <w:rPr>
                          <w:rFonts w:asciiTheme="majorHAnsi" w:eastAsia="Arial" w:hAnsiTheme="majorHAnsi"/>
                          <w:b/>
                          <w:color w:val="414042"/>
                          <w:szCs w:val="16"/>
                        </w:rPr>
                        <w:t>Lütfen raporun sonundaki yasal uyarıları göz önünde bulundurunuz.</w:t>
                      </w:r>
                    </w:p>
                    <w:p w14:paraId="02E238AC" w14:textId="77777777" w:rsidR="009F0943" w:rsidRPr="008077A6" w:rsidRDefault="009F0943" w:rsidP="009F0943">
                      <w:pPr>
                        <w:jc w:val="both"/>
                        <w:rPr>
                          <w:sz w:val="26"/>
                        </w:rPr>
                      </w:pPr>
                    </w:p>
                  </w:txbxContent>
                </v:textbox>
                <w10:wrap anchorx="page"/>
              </v:shape>
            </w:pict>
          </mc:Fallback>
        </mc:AlternateContent>
      </w:r>
    </w:p>
    <w:tbl>
      <w:tblPr>
        <w:tblStyle w:val="TabloKlavuzu1"/>
        <w:tblW w:w="10800" w:type="dxa"/>
        <w:tblBorders>
          <w:top w:val="none" w:sz="0" w:space="0" w:color="auto"/>
          <w:left w:val="none" w:sz="0" w:space="0" w:color="auto"/>
          <w:bottom w:val="single" w:sz="12" w:space="0" w:color="00938F"/>
          <w:right w:val="none" w:sz="0" w:space="0" w:color="auto"/>
          <w:insideH w:val="none" w:sz="0" w:space="0" w:color="auto"/>
          <w:insideV w:val="none" w:sz="0" w:space="0" w:color="auto"/>
        </w:tblBorders>
        <w:tblLayout w:type="fixed"/>
        <w:tblLook w:val="04A0" w:firstRow="1" w:lastRow="0" w:firstColumn="1" w:lastColumn="0" w:noHBand="0" w:noVBand="1"/>
      </w:tblPr>
      <w:tblGrid>
        <w:gridCol w:w="10800"/>
      </w:tblGrid>
      <w:tr w:rsidR="0060315F" w:rsidRPr="003814E1" w14:paraId="2C63CB79" w14:textId="77777777" w:rsidTr="00851427">
        <w:trPr>
          <w:trHeight w:val="255"/>
        </w:trPr>
        <w:tc>
          <w:tcPr>
            <w:tcW w:w="10800" w:type="dxa"/>
            <w:shd w:val="clear" w:color="auto" w:fill="0435F9" w:themeFill="accent1"/>
            <w:vAlign w:val="center"/>
          </w:tcPr>
          <w:p w14:paraId="6EA0DDA4" w14:textId="53DA153F" w:rsidR="0060315F" w:rsidRPr="003814E1" w:rsidRDefault="00551E32" w:rsidP="00CE30DA">
            <w:pPr>
              <w:rPr>
                <w:rFonts w:ascii="Arial" w:eastAsia="Times New Roman" w:hAnsi="Arial"/>
                <w:b/>
                <w:bCs/>
                <w:color w:val="FFFFFF"/>
                <w:sz w:val="16"/>
                <w:szCs w:val="16"/>
                <w:lang w:val="tr-TR"/>
              </w:rPr>
            </w:pPr>
            <w:r>
              <w:rPr>
                <w:rFonts w:ascii="Arial" w:eastAsia="Times New Roman" w:hAnsi="Arial"/>
                <w:b/>
                <w:color w:val="FFFFFF"/>
                <w:sz w:val="16"/>
                <w:szCs w:val="16"/>
                <w:lang w:val="tr-TR"/>
              </w:rPr>
              <w:lastRenderedPageBreak/>
              <w:t xml:space="preserve"> </w:t>
            </w:r>
            <w:r w:rsidR="0060315F">
              <w:rPr>
                <w:rFonts w:ascii="Arial" w:eastAsia="Times New Roman" w:hAnsi="Arial"/>
                <w:b/>
                <w:color w:val="FFFFFF"/>
                <w:sz w:val="16"/>
                <w:szCs w:val="16"/>
                <w:lang w:val="tr-TR"/>
              </w:rPr>
              <w:t>Tablo</w:t>
            </w:r>
            <w:r w:rsidR="0060315F" w:rsidRPr="003814E1">
              <w:rPr>
                <w:rFonts w:ascii="Arial" w:eastAsia="Times New Roman" w:hAnsi="Arial"/>
                <w:b/>
                <w:color w:val="FFFFFF"/>
                <w:sz w:val="16"/>
                <w:szCs w:val="16"/>
                <w:lang w:val="tr-TR"/>
              </w:rPr>
              <w:t xml:space="preserve"> </w:t>
            </w:r>
            <w:r w:rsidR="0060315F">
              <w:rPr>
                <w:rFonts w:ascii="Arial" w:eastAsia="Times New Roman" w:hAnsi="Arial"/>
                <w:b/>
                <w:color w:val="FFFFFF"/>
                <w:sz w:val="16"/>
                <w:szCs w:val="16"/>
                <w:lang w:val="tr-TR"/>
              </w:rPr>
              <w:t>1:</w:t>
            </w:r>
            <w:r w:rsidR="0060315F" w:rsidRPr="003814E1">
              <w:rPr>
                <w:rFonts w:ascii="Arial" w:eastAsia="Times New Roman" w:hAnsi="Arial"/>
                <w:b/>
                <w:color w:val="FFFFFF"/>
                <w:sz w:val="16"/>
                <w:szCs w:val="16"/>
                <w:lang w:val="tr-TR"/>
              </w:rPr>
              <w:t xml:space="preserve"> </w:t>
            </w:r>
            <w:r w:rsidR="0017784A">
              <w:rPr>
                <w:rFonts w:ascii="Arial" w:eastAsia="Times New Roman" w:hAnsi="Arial"/>
                <w:b/>
                <w:color w:val="FFFFFF"/>
                <w:sz w:val="16"/>
                <w:szCs w:val="16"/>
                <w:lang w:val="tr-TR"/>
              </w:rPr>
              <w:t>Çekirdek Enflasyon Göstergeleri</w:t>
            </w:r>
          </w:p>
        </w:tc>
      </w:tr>
      <w:tr w:rsidR="0060315F" w:rsidRPr="007458A9" w14:paraId="09EB012A" w14:textId="77777777" w:rsidTr="00D40079">
        <w:tblPrEx>
          <w:tblCellMar>
            <w:left w:w="70" w:type="dxa"/>
            <w:right w:w="70" w:type="dxa"/>
          </w:tblCellMar>
        </w:tblPrEx>
        <w:trPr>
          <w:trHeight w:val="4410"/>
        </w:trPr>
        <w:tc>
          <w:tcPr>
            <w:tcW w:w="10800" w:type="dxa"/>
            <w:tcBorders>
              <w:bottom w:val="single" w:sz="12" w:space="0" w:color="0435F9" w:themeColor="accent1"/>
            </w:tcBorders>
          </w:tcPr>
          <w:p w14:paraId="4C016BFD" w14:textId="1589A99A" w:rsidR="0060315F" w:rsidRPr="007458A9" w:rsidRDefault="00F4404F" w:rsidP="007458A9">
            <w:pPr>
              <w:spacing w:after="120"/>
              <w:ind w:left="62"/>
              <w:jc w:val="right"/>
              <w:rPr>
                <w:rFonts w:asciiTheme="majorHAnsi" w:hAnsiTheme="majorHAnsi"/>
                <w:i/>
                <w:iCs/>
                <w:noProof/>
                <w:sz w:val="16"/>
                <w:szCs w:val="16"/>
              </w:rPr>
            </w:pPr>
            <w:r w:rsidRPr="00F4404F">
              <w:rPr>
                <w:rFonts w:asciiTheme="majorHAnsi" w:hAnsiTheme="majorHAnsi"/>
                <w:i/>
                <w:iCs/>
                <w:noProof/>
                <w:sz w:val="16"/>
                <w:szCs w:val="16"/>
              </w:rPr>
              <w:drawing>
                <wp:inline distT="0" distB="0" distL="0" distR="0" wp14:anchorId="7AB0A4BA" wp14:editId="2AD7028D">
                  <wp:extent cx="6762750" cy="2362200"/>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62750" cy="2362200"/>
                          </a:xfrm>
                          <a:prstGeom prst="rect">
                            <a:avLst/>
                          </a:prstGeom>
                          <a:noFill/>
                          <a:ln>
                            <a:noFill/>
                          </a:ln>
                        </pic:spPr>
                      </pic:pic>
                    </a:graphicData>
                  </a:graphic>
                </wp:inline>
              </w:drawing>
            </w:r>
          </w:p>
          <w:p w14:paraId="0B81B435" w14:textId="0C64DD8E" w:rsidR="007458A9" w:rsidRPr="007458A9" w:rsidRDefault="007458A9" w:rsidP="007458A9">
            <w:pPr>
              <w:spacing w:after="120" w:line="240" w:lineRule="auto"/>
              <w:ind w:left="62"/>
              <w:jc w:val="right"/>
              <w:rPr>
                <w:rFonts w:asciiTheme="majorHAnsi" w:hAnsiTheme="majorHAnsi"/>
                <w:bCs/>
                <w:i/>
                <w:iCs/>
                <w:sz w:val="16"/>
                <w:szCs w:val="16"/>
                <w:lang w:val="tr-TR"/>
              </w:rPr>
            </w:pPr>
            <w:r w:rsidRPr="007458A9">
              <w:rPr>
                <w:rFonts w:asciiTheme="majorHAnsi" w:hAnsiTheme="majorHAnsi"/>
                <w:bCs/>
                <w:i/>
                <w:iCs/>
                <w:sz w:val="16"/>
                <w:szCs w:val="16"/>
                <w:lang w:val="tr-TR"/>
              </w:rPr>
              <w:t>*</w:t>
            </w:r>
            <w:r w:rsidR="00A23759">
              <w:rPr>
                <w:rFonts w:asciiTheme="majorHAnsi" w:hAnsiTheme="majorHAnsi"/>
                <w:bCs/>
                <w:i/>
                <w:iCs/>
                <w:sz w:val="16"/>
                <w:szCs w:val="16"/>
                <w:lang w:val="tr-TR"/>
              </w:rPr>
              <w:t>Ekim 25 verisi Gedik Yatırım Araştırma tahminleridir.</w:t>
            </w:r>
            <w:r w:rsidRPr="007458A9">
              <w:rPr>
                <w:rFonts w:asciiTheme="majorHAnsi" w:hAnsiTheme="majorHAnsi"/>
                <w:bCs/>
                <w:i/>
                <w:iCs/>
                <w:sz w:val="16"/>
                <w:szCs w:val="16"/>
                <w:lang w:val="tr-TR"/>
              </w:rPr>
              <w:t xml:space="preserve"> </w:t>
            </w:r>
          </w:p>
        </w:tc>
      </w:tr>
    </w:tbl>
    <w:p w14:paraId="17986CAC" w14:textId="75DF6707" w:rsidR="0060315F" w:rsidRPr="00D509C0" w:rsidRDefault="0060315F" w:rsidP="00936F48">
      <w:pPr>
        <w:spacing w:after="360" w:line="259" w:lineRule="auto"/>
        <w:rPr>
          <w:rFonts w:asciiTheme="majorHAnsi" w:hAnsiTheme="majorHAnsi"/>
          <w:b/>
          <w:bCs/>
          <w:color w:val="011979" w:themeColor="accent2"/>
          <w:sz w:val="16"/>
          <w:szCs w:val="16"/>
        </w:rPr>
      </w:pPr>
      <w:r w:rsidRPr="00D509C0">
        <w:rPr>
          <w:rFonts w:asciiTheme="majorHAnsi" w:hAnsiTheme="majorHAnsi"/>
          <w:b/>
          <w:bCs/>
          <w:color w:val="011979" w:themeColor="accent2"/>
          <w:sz w:val="16"/>
          <w:szCs w:val="16"/>
        </w:rPr>
        <w:t xml:space="preserve">Kaynak: </w:t>
      </w:r>
      <w:r w:rsidRPr="00D509C0">
        <w:rPr>
          <w:rFonts w:asciiTheme="majorHAnsi" w:hAnsiTheme="majorHAnsi"/>
          <w:color w:val="011979" w:themeColor="accent2"/>
          <w:sz w:val="16"/>
          <w:szCs w:val="16"/>
        </w:rPr>
        <w:t>TÜİK</w:t>
      </w:r>
      <w:r w:rsidR="00936F48" w:rsidRPr="00D509C0">
        <w:rPr>
          <w:rFonts w:asciiTheme="majorHAnsi" w:hAnsiTheme="majorHAnsi"/>
          <w:color w:val="011979" w:themeColor="accent2"/>
          <w:sz w:val="16"/>
          <w:szCs w:val="16"/>
        </w:rPr>
        <w:t>,</w:t>
      </w:r>
      <w:r w:rsidR="0017784A">
        <w:rPr>
          <w:rFonts w:asciiTheme="majorHAnsi" w:hAnsiTheme="majorHAnsi"/>
          <w:color w:val="011979" w:themeColor="accent2"/>
          <w:sz w:val="16"/>
          <w:szCs w:val="16"/>
        </w:rPr>
        <w:t xml:space="preserve"> Web TÜFE,</w:t>
      </w:r>
      <w:r w:rsidR="00936F48" w:rsidRPr="00D509C0">
        <w:rPr>
          <w:rFonts w:asciiTheme="majorHAnsi" w:hAnsiTheme="majorHAnsi"/>
          <w:color w:val="011979" w:themeColor="accent2"/>
          <w:sz w:val="16"/>
          <w:szCs w:val="16"/>
        </w:rPr>
        <w:t xml:space="preserve"> Gedik Yatırım</w:t>
      </w:r>
    </w:p>
    <w:p w14:paraId="1AF85166" w14:textId="14F5A87E" w:rsidR="00207F14" w:rsidRDefault="00207F14" w:rsidP="009F0943">
      <w:pPr>
        <w:autoSpaceDE w:val="0"/>
        <w:autoSpaceDN w:val="0"/>
        <w:adjustRightInd w:val="0"/>
        <w:ind w:firstLine="720"/>
        <w:rPr>
          <w:rFonts w:ascii="Arial" w:hAnsi="Arial"/>
          <w:b/>
          <w:bCs/>
          <w:color w:val="011979" w:themeColor="accent2"/>
          <w:sz w:val="18"/>
          <w:szCs w:val="18"/>
          <w:u w:val="single"/>
        </w:rPr>
      </w:pPr>
    </w:p>
    <w:p w14:paraId="2F4DB527" w14:textId="532B68AB" w:rsidR="005F6237" w:rsidRDefault="005F6237" w:rsidP="009F0943">
      <w:pPr>
        <w:autoSpaceDE w:val="0"/>
        <w:autoSpaceDN w:val="0"/>
        <w:adjustRightInd w:val="0"/>
        <w:ind w:firstLine="720"/>
        <w:rPr>
          <w:rFonts w:ascii="Arial" w:hAnsi="Arial"/>
          <w:b/>
          <w:bCs/>
          <w:color w:val="011979" w:themeColor="accent2"/>
          <w:sz w:val="18"/>
          <w:szCs w:val="18"/>
          <w:u w:val="single"/>
        </w:rPr>
      </w:pPr>
    </w:p>
    <w:p w14:paraId="435B373F" w14:textId="77777777" w:rsidR="005F6237" w:rsidRDefault="005F6237" w:rsidP="009F0943">
      <w:pPr>
        <w:autoSpaceDE w:val="0"/>
        <w:autoSpaceDN w:val="0"/>
        <w:adjustRightInd w:val="0"/>
        <w:ind w:firstLine="720"/>
        <w:rPr>
          <w:rFonts w:ascii="Arial" w:hAnsi="Arial"/>
          <w:b/>
          <w:bCs/>
          <w:color w:val="011979" w:themeColor="accent2"/>
          <w:sz w:val="18"/>
          <w:szCs w:val="18"/>
          <w:u w:val="single"/>
        </w:rPr>
      </w:pPr>
    </w:p>
    <w:p w14:paraId="0CA34AA2" w14:textId="31E8F764" w:rsidR="00207F14" w:rsidRDefault="00207F14" w:rsidP="009F0943">
      <w:pPr>
        <w:autoSpaceDE w:val="0"/>
        <w:autoSpaceDN w:val="0"/>
        <w:adjustRightInd w:val="0"/>
        <w:ind w:firstLine="720"/>
        <w:rPr>
          <w:rFonts w:ascii="Arial" w:hAnsi="Arial"/>
          <w:b/>
          <w:bCs/>
          <w:color w:val="011979" w:themeColor="accent2"/>
          <w:sz w:val="18"/>
          <w:szCs w:val="18"/>
          <w:u w:val="single"/>
        </w:rPr>
      </w:pPr>
    </w:p>
    <w:p w14:paraId="516780AF" w14:textId="2B78BCD5" w:rsidR="00F856E7" w:rsidRDefault="00F856E7" w:rsidP="009F0943">
      <w:pPr>
        <w:autoSpaceDE w:val="0"/>
        <w:autoSpaceDN w:val="0"/>
        <w:adjustRightInd w:val="0"/>
        <w:ind w:firstLine="720"/>
        <w:rPr>
          <w:rFonts w:ascii="Arial" w:hAnsi="Arial"/>
          <w:b/>
          <w:bCs/>
          <w:color w:val="011979" w:themeColor="accent2"/>
          <w:sz w:val="18"/>
          <w:szCs w:val="18"/>
          <w:u w:val="single"/>
        </w:rPr>
      </w:pPr>
    </w:p>
    <w:p w14:paraId="51F10AA0" w14:textId="45D79A90" w:rsidR="00F856E7" w:rsidRDefault="00F856E7" w:rsidP="009F0943">
      <w:pPr>
        <w:autoSpaceDE w:val="0"/>
        <w:autoSpaceDN w:val="0"/>
        <w:adjustRightInd w:val="0"/>
        <w:ind w:firstLine="720"/>
        <w:rPr>
          <w:rFonts w:ascii="Arial" w:hAnsi="Arial"/>
          <w:b/>
          <w:bCs/>
          <w:color w:val="011979" w:themeColor="accent2"/>
          <w:sz w:val="18"/>
          <w:szCs w:val="18"/>
          <w:u w:val="single"/>
        </w:rPr>
      </w:pPr>
    </w:p>
    <w:p w14:paraId="6D292571" w14:textId="5E8E5251" w:rsidR="00726F6E" w:rsidRDefault="00726F6E" w:rsidP="009F0943">
      <w:pPr>
        <w:autoSpaceDE w:val="0"/>
        <w:autoSpaceDN w:val="0"/>
        <w:adjustRightInd w:val="0"/>
        <w:ind w:firstLine="720"/>
        <w:rPr>
          <w:rFonts w:ascii="Arial" w:hAnsi="Arial"/>
          <w:b/>
          <w:bCs/>
          <w:color w:val="011979" w:themeColor="accent2"/>
          <w:sz w:val="18"/>
          <w:szCs w:val="18"/>
          <w:u w:val="single"/>
        </w:rPr>
      </w:pPr>
    </w:p>
    <w:p w14:paraId="14F8C76B" w14:textId="27070D1E" w:rsidR="00726F6E" w:rsidRDefault="00726F6E" w:rsidP="009F0943">
      <w:pPr>
        <w:autoSpaceDE w:val="0"/>
        <w:autoSpaceDN w:val="0"/>
        <w:adjustRightInd w:val="0"/>
        <w:ind w:firstLine="720"/>
        <w:rPr>
          <w:rFonts w:ascii="Arial" w:hAnsi="Arial"/>
          <w:b/>
          <w:bCs/>
          <w:color w:val="011979" w:themeColor="accent2"/>
          <w:sz w:val="18"/>
          <w:szCs w:val="18"/>
          <w:u w:val="single"/>
        </w:rPr>
      </w:pPr>
    </w:p>
    <w:p w14:paraId="548F090B" w14:textId="0E5AE056" w:rsidR="00726F6E" w:rsidRDefault="00726F6E" w:rsidP="009F0943">
      <w:pPr>
        <w:autoSpaceDE w:val="0"/>
        <w:autoSpaceDN w:val="0"/>
        <w:adjustRightInd w:val="0"/>
        <w:ind w:firstLine="720"/>
        <w:rPr>
          <w:rFonts w:ascii="Arial" w:hAnsi="Arial"/>
          <w:b/>
          <w:bCs/>
          <w:color w:val="011979" w:themeColor="accent2"/>
          <w:sz w:val="18"/>
          <w:szCs w:val="18"/>
          <w:u w:val="single"/>
        </w:rPr>
      </w:pPr>
    </w:p>
    <w:p w14:paraId="4F5D07F3" w14:textId="3F06E4C5" w:rsidR="00726F6E" w:rsidRDefault="00726F6E" w:rsidP="009F0943">
      <w:pPr>
        <w:autoSpaceDE w:val="0"/>
        <w:autoSpaceDN w:val="0"/>
        <w:adjustRightInd w:val="0"/>
        <w:ind w:firstLine="720"/>
        <w:rPr>
          <w:rFonts w:ascii="Arial" w:hAnsi="Arial"/>
          <w:b/>
          <w:bCs/>
          <w:color w:val="011979" w:themeColor="accent2"/>
          <w:sz w:val="18"/>
          <w:szCs w:val="18"/>
          <w:u w:val="single"/>
        </w:rPr>
      </w:pPr>
    </w:p>
    <w:p w14:paraId="06833E33" w14:textId="73F5DBD4" w:rsidR="00726F6E" w:rsidRDefault="00726F6E" w:rsidP="009F0943">
      <w:pPr>
        <w:autoSpaceDE w:val="0"/>
        <w:autoSpaceDN w:val="0"/>
        <w:adjustRightInd w:val="0"/>
        <w:ind w:firstLine="720"/>
        <w:rPr>
          <w:rFonts w:ascii="Arial" w:hAnsi="Arial"/>
          <w:b/>
          <w:bCs/>
          <w:color w:val="011979" w:themeColor="accent2"/>
          <w:sz w:val="18"/>
          <w:szCs w:val="18"/>
          <w:u w:val="single"/>
        </w:rPr>
      </w:pPr>
    </w:p>
    <w:p w14:paraId="39FF41C9" w14:textId="17517C2A" w:rsidR="00726F6E" w:rsidRDefault="00726F6E" w:rsidP="009F0943">
      <w:pPr>
        <w:autoSpaceDE w:val="0"/>
        <w:autoSpaceDN w:val="0"/>
        <w:adjustRightInd w:val="0"/>
        <w:ind w:firstLine="720"/>
        <w:rPr>
          <w:rFonts w:ascii="Arial" w:hAnsi="Arial"/>
          <w:b/>
          <w:bCs/>
          <w:color w:val="011979" w:themeColor="accent2"/>
          <w:sz w:val="18"/>
          <w:szCs w:val="18"/>
          <w:u w:val="single"/>
        </w:rPr>
      </w:pPr>
    </w:p>
    <w:p w14:paraId="2C15233D" w14:textId="41F595AE" w:rsidR="007C409E" w:rsidRDefault="007C409E" w:rsidP="009F0943">
      <w:pPr>
        <w:autoSpaceDE w:val="0"/>
        <w:autoSpaceDN w:val="0"/>
        <w:adjustRightInd w:val="0"/>
        <w:ind w:firstLine="720"/>
        <w:rPr>
          <w:rFonts w:ascii="Arial" w:hAnsi="Arial"/>
          <w:b/>
          <w:bCs/>
          <w:color w:val="011979" w:themeColor="accent2"/>
          <w:sz w:val="18"/>
          <w:szCs w:val="18"/>
          <w:u w:val="single"/>
        </w:rPr>
      </w:pPr>
    </w:p>
    <w:p w14:paraId="057C08BC" w14:textId="0267C395" w:rsidR="007C409E" w:rsidRDefault="007C409E" w:rsidP="009F0943">
      <w:pPr>
        <w:autoSpaceDE w:val="0"/>
        <w:autoSpaceDN w:val="0"/>
        <w:adjustRightInd w:val="0"/>
        <w:ind w:firstLine="720"/>
        <w:rPr>
          <w:rFonts w:ascii="Arial" w:hAnsi="Arial"/>
          <w:b/>
          <w:bCs/>
          <w:color w:val="011979" w:themeColor="accent2"/>
          <w:sz w:val="18"/>
          <w:szCs w:val="18"/>
          <w:u w:val="single"/>
        </w:rPr>
      </w:pPr>
    </w:p>
    <w:p w14:paraId="61C6CFD8" w14:textId="23206B76" w:rsidR="007C409E" w:rsidRDefault="007C409E" w:rsidP="009F0943">
      <w:pPr>
        <w:autoSpaceDE w:val="0"/>
        <w:autoSpaceDN w:val="0"/>
        <w:adjustRightInd w:val="0"/>
        <w:ind w:firstLine="720"/>
        <w:rPr>
          <w:rFonts w:ascii="Arial" w:hAnsi="Arial"/>
          <w:b/>
          <w:bCs/>
          <w:color w:val="011979" w:themeColor="accent2"/>
          <w:sz w:val="18"/>
          <w:szCs w:val="18"/>
          <w:u w:val="single"/>
        </w:rPr>
      </w:pPr>
    </w:p>
    <w:p w14:paraId="2DC75E1E" w14:textId="54726CFB" w:rsidR="007C409E" w:rsidRDefault="007C409E" w:rsidP="009F0943">
      <w:pPr>
        <w:autoSpaceDE w:val="0"/>
        <w:autoSpaceDN w:val="0"/>
        <w:adjustRightInd w:val="0"/>
        <w:ind w:firstLine="720"/>
        <w:rPr>
          <w:rFonts w:ascii="Arial" w:hAnsi="Arial"/>
          <w:b/>
          <w:bCs/>
          <w:color w:val="011979" w:themeColor="accent2"/>
          <w:sz w:val="18"/>
          <w:szCs w:val="18"/>
          <w:u w:val="single"/>
        </w:rPr>
      </w:pPr>
    </w:p>
    <w:p w14:paraId="44CBA8FB" w14:textId="541E902E" w:rsidR="007C409E" w:rsidRDefault="007C409E" w:rsidP="009F0943">
      <w:pPr>
        <w:autoSpaceDE w:val="0"/>
        <w:autoSpaceDN w:val="0"/>
        <w:adjustRightInd w:val="0"/>
        <w:ind w:firstLine="720"/>
        <w:rPr>
          <w:rFonts w:ascii="Arial" w:hAnsi="Arial"/>
          <w:b/>
          <w:bCs/>
          <w:color w:val="011979" w:themeColor="accent2"/>
          <w:sz w:val="18"/>
          <w:szCs w:val="18"/>
          <w:u w:val="single"/>
        </w:rPr>
      </w:pPr>
    </w:p>
    <w:p w14:paraId="338E1D3D" w14:textId="6E046F8B" w:rsidR="007C409E" w:rsidRDefault="007C409E" w:rsidP="009F0943">
      <w:pPr>
        <w:autoSpaceDE w:val="0"/>
        <w:autoSpaceDN w:val="0"/>
        <w:adjustRightInd w:val="0"/>
        <w:ind w:firstLine="720"/>
        <w:rPr>
          <w:rFonts w:ascii="Arial" w:hAnsi="Arial"/>
          <w:b/>
          <w:bCs/>
          <w:color w:val="011979" w:themeColor="accent2"/>
          <w:sz w:val="18"/>
          <w:szCs w:val="18"/>
          <w:u w:val="single"/>
        </w:rPr>
      </w:pPr>
    </w:p>
    <w:p w14:paraId="3B382527" w14:textId="73F6142B" w:rsidR="007C409E" w:rsidRDefault="007C409E" w:rsidP="009F0943">
      <w:pPr>
        <w:autoSpaceDE w:val="0"/>
        <w:autoSpaceDN w:val="0"/>
        <w:adjustRightInd w:val="0"/>
        <w:ind w:firstLine="720"/>
        <w:rPr>
          <w:rFonts w:ascii="Arial" w:hAnsi="Arial"/>
          <w:b/>
          <w:bCs/>
          <w:color w:val="011979" w:themeColor="accent2"/>
          <w:sz w:val="18"/>
          <w:szCs w:val="18"/>
          <w:u w:val="single"/>
        </w:rPr>
      </w:pPr>
    </w:p>
    <w:p w14:paraId="4270AF01" w14:textId="77F69D17" w:rsidR="007C409E" w:rsidRDefault="007C409E" w:rsidP="009F0943">
      <w:pPr>
        <w:autoSpaceDE w:val="0"/>
        <w:autoSpaceDN w:val="0"/>
        <w:adjustRightInd w:val="0"/>
        <w:ind w:firstLine="720"/>
        <w:rPr>
          <w:rFonts w:ascii="Arial" w:hAnsi="Arial"/>
          <w:b/>
          <w:bCs/>
          <w:color w:val="011979" w:themeColor="accent2"/>
          <w:sz w:val="18"/>
          <w:szCs w:val="18"/>
          <w:u w:val="single"/>
        </w:rPr>
      </w:pPr>
    </w:p>
    <w:p w14:paraId="4AF5727E" w14:textId="45361E6B" w:rsidR="007C409E" w:rsidRDefault="007C409E" w:rsidP="009F0943">
      <w:pPr>
        <w:autoSpaceDE w:val="0"/>
        <w:autoSpaceDN w:val="0"/>
        <w:adjustRightInd w:val="0"/>
        <w:ind w:firstLine="720"/>
        <w:rPr>
          <w:rFonts w:ascii="Arial" w:hAnsi="Arial"/>
          <w:b/>
          <w:bCs/>
          <w:color w:val="011979" w:themeColor="accent2"/>
          <w:sz w:val="18"/>
          <w:szCs w:val="18"/>
          <w:u w:val="single"/>
        </w:rPr>
      </w:pPr>
    </w:p>
    <w:p w14:paraId="4839D61F" w14:textId="6DD848A3" w:rsidR="007C409E" w:rsidRDefault="007C409E" w:rsidP="009F0943">
      <w:pPr>
        <w:autoSpaceDE w:val="0"/>
        <w:autoSpaceDN w:val="0"/>
        <w:adjustRightInd w:val="0"/>
        <w:ind w:firstLine="720"/>
        <w:rPr>
          <w:rFonts w:ascii="Arial" w:hAnsi="Arial"/>
          <w:b/>
          <w:bCs/>
          <w:color w:val="011979" w:themeColor="accent2"/>
          <w:sz w:val="18"/>
          <w:szCs w:val="18"/>
          <w:u w:val="single"/>
        </w:rPr>
      </w:pPr>
    </w:p>
    <w:p w14:paraId="7B78FC55" w14:textId="77777777" w:rsidR="007C409E" w:rsidRDefault="007C409E" w:rsidP="009F0943">
      <w:pPr>
        <w:autoSpaceDE w:val="0"/>
        <w:autoSpaceDN w:val="0"/>
        <w:adjustRightInd w:val="0"/>
        <w:ind w:firstLine="720"/>
        <w:rPr>
          <w:rFonts w:ascii="Arial" w:hAnsi="Arial"/>
          <w:b/>
          <w:bCs/>
          <w:color w:val="011979" w:themeColor="accent2"/>
          <w:sz w:val="18"/>
          <w:szCs w:val="18"/>
          <w:u w:val="single"/>
        </w:rPr>
      </w:pPr>
    </w:p>
    <w:p w14:paraId="3C67F3D9" w14:textId="77777777" w:rsidR="00726F6E" w:rsidRDefault="00726F6E" w:rsidP="009F0943">
      <w:pPr>
        <w:autoSpaceDE w:val="0"/>
        <w:autoSpaceDN w:val="0"/>
        <w:adjustRightInd w:val="0"/>
        <w:ind w:firstLine="720"/>
        <w:rPr>
          <w:rFonts w:ascii="Arial" w:hAnsi="Arial"/>
          <w:b/>
          <w:bCs/>
          <w:color w:val="011979" w:themeColor="accent2"/>
          <w:sz w:val="18"/>
          <w:szCs w:val="18"/>
          <w:u w:val="single"/>
        </w:rPr>
      </w:pPr>
    </w:p>
    <w:p w14:paraId="726A9CBF" w14:textId="66D6D6C0" w:rsidR="00207F14" w:rsidRDefault="00207F14" w:rsidP="009F0943">
      <w:pPr>
        <w:autoSpaceDE w:val="0"/>
        <w:autoSpaceDN w:val="0"/>
        <w:adjustRightInd w:val="0"/>
        <w:ind w:firstLine="720"/>
        <w:rPr>
          <w:rFonts w:asciiTheme="majorHAnsi" w:hAnsiTheme="majorHAnsi"/>
          <w:b/>
          <w:bCs/>
          <w:color w:val="011979" w:themeColor="accent2"/>
          <w:sz w:val="18"/>
          <w:szCs w:val="18"/>
          <w:u w:val="single"/>
        </w:rPr>
      </w:pPr>
    </w:p>
    <w:p w14:paraId="5AF9824E" w14:textId="77777777" w:rsidR="00C2028F" w:rsidRPr="00726F6E" w:rsidRDefault="00C2028F" w:rsidP="009F0943">
      <w:pPr>
        <w:autoSpaceDE w:val="0"/>
        <w:autoSpaceDN w:val="0"/>
        <w:adjustRightInd w:val="0"/>
        <w:ind w:firstLine="720"/>
        <w:rPr>
          <w:rFonts w:asciiTheme="majorHAnsi" w:hAnsiTheme="majorHAnsi"/>
          <w:b/>
          <w:bCs/>
          <w:color w:val="011979" w:themeColor="accent2"/>
          <w:sz w:val="18"/>
          <w:szCs w:val="18"/>
          <w:u w:val="single"/>
        </w:rPr>
      </w:pPr>
    </w:p>
    <w:p w14:paraId="3CE77CC5" w14:textId="0DA005EE" w:rsidR="00C4234D" w:rsidRDefault="00C4234D" w:rsidP="009F0943">
      <w:pPr>
        <w:autoSpaceDE w:val="0"/>
        <w:autoSpaceDN w:val="0"/>
        <w:adjustRightInd w:val="0"/>
        <w:rPr>
          <w:rFonts w:asciiTheme="majorHAnsi" w:hAnsiTheme="majorHAnsi"/>
          <w:b/>
          <w:bCs/>
          <w:color w:val="011979" w:themeColor="accent2"/>
          <w:sz w:val="18"/>
          <w:szCs w:val="18"/>
          <w:u w:val="single"/>
        </w:rPr>
      </w:pPr>
    </w:p>
    <w:p w14:paraId="4F104437" w14:textId="3E15DA22" w:rsidR="002D2153" w:rsidRDefault="002D2153" w:rsidP="009F0943">
      <w:pPr>
        <w:autoSpaceDE w:val="0"/>
        <w:autoSpaceDN w:val="0"/>
        <w:adjustRightInd w:val="0"/>
        <w:rPr>
          <w:rFonts w:asciiTheme="majorHAnsi" w:hAnsiTheme="majorHAnsi"/>
          <w:b/>
          <w:bCs/>
          <w:color w:val="011979" w:themeColor="accent2"/>
          <w:sz w:val="18"/>
          <w:szCs w:val="18"/>
          <w:u w:val="single"/>
        </w:rPr>
      </w:pPr>
    </w:p>
    <w:p w14:paraId="675E1042" w14:textId="77777777" w:rsidR="002D2153" w:rsidRDefault="002D2153" w:rsidP="009F0943">
      <w:pPr>
        <w:autoSpaceDE w:val="0"/>
        <w:autoSpaceDN w:val="0"/>
        <w:adjustRightInd w:val="0"/>
        <w:rPr>
          <w:rFonts w:asciiTheme="majorHAnsi" w:hAnsiTheme="majorHAnsi"/>
          <w:b/>
          <w:bCs/>
          <w:color w:val="011979" w:themeColor="accent2"/>
          <w:sz w:val="18"/>
          <w:szCs w:val="18"/>
          <w:u w:val="single"/>
        </w:rPr>
      </w:pPr>
    </w:p>
    <w:p w14:paraId="100D0394" w14:textId="50562443" w:rsidR="00564390" w:rsidRDefault="00564390" w:rsidP="009F0943">
      <w:pPr>
        <w:autoSpaceDE w:val="0"/>
        <w:autoSpaceDN w:val="0"/>
        <w:adjustRightInd w:val="0"/>
        <w:rPr>
          <w:rFonts w:asciiTheme="majorHAnsi" w:hAnsiTheme="majorHAnsi"/>
          <w:b/>
          <w:bCs/>
          <w:color w:val="011979" w:themeColor="accent2"/>
          <w:sz w:val="18"/>
          <w:szCs w:val="18"/>
          <w:u w:val="single"/>
        </w:rPr>
      </w:pPr>
    </w:p>
    <w:p w14:paraId="13BA0DB0" w14:textId="63ABC944" w:rsidR="00BF162F" w:rsidRDefault="00BF162F" w:rsidP="009F0943">
      <w:pPr>
        <w:autoSpaceDE w:val="0"/>
        <w:autoSpaceDN w:val="0"/>
        <w:adjustRightInd w:val="0"/>
        <w:rPr>
          <w:rFonts w:asciiTheme="majorHAnsi" w:hAnsiTheme="majorHAnsi"/>
          <w:b/>
          <w:bCs/>
          <w:color w:val="011979" w:themeColor="accent2"/>
          <w:sz w:val="18"/>
          <w:szCs w:val="18"/>
          <w:u w:val="single"/>
        </w:rPr>
      </w:pPr>
    </w:p>
    <w:p w14:paraId="5055159C" w14:textId="6B2AEEB1" w:rsidR="00BF162F" w:rsidRDefault="00BF162F" w:rsidP="009F0943">
      <w:pPr>
        <w:autoSpaceDE w:val="0"/>
        <w:autoSpaceDN w:val="0"/>
        <w:adjustRightInd w:val="0"/>
        <w:rPr>
          <w:rFonts w:asciiTheme="majorHAnsi" w:hAnsiTheme="majorHAnsi"/>
          <w:b/>
          <w:bCs/>
          <w:color w:val="011979" w:themeColor="accent2"/>
          <w:sz w:val="18"/>
          <w:szCs w:val="18"/>
          <w:u w:val="single"/>
        </w:rPr>
      </w:pPr>
    </w:p>
    <w:p w14:paraId="6913E127" w14:textId="3AB181E4" w:rsidR="00BF162F" w:rsidRDefault="00BF162F" w:rsidP="009F0943">
      <w:pPr>
        <w:autoSpaceDE w:val="0"/>
        <w:autoSpaceDN w:val="0"/>
        <w:adjustRightInd w:val="0"/>
        <w:rPr>
          <w:rFonts w:asciiTheme="majorHAnsi" w:hAnsiTheme="majorHAnsi"/>
          <w:b/>
          <w:bCs/>
          <w:color w:val="011979" w:themeColor="accent2"/>
          <w:sz w:val="18"/>
          <w:szCs w:val="18"/>
          <w:u w:val="single"/>
        </w:rPr>
      </w:pPr>
    </w:p>
    <w:p w14:paraId="46D0D0CF" w14:textId="53E76BE4" w:rsidR="00BF162F" w:rsidRDefault="00BF162F" w:rsidP="009F0943">
      <w:pPr>
        <w:autoSpaceDE w:val="0"/>
        <w:autoSpaceDN w:val="0"/>
        <w:adjustRightInd w:val="0"/>
        <w:rPr>
          <w:rFonts w:asciiTheme="majorHAnsi" w:hAnsiTheme="majorHAnsi"/>
          <w:b/>
          <w:bCs/>
          <w:color w:val="011979" w:themeColor="accent2"/>
          <w:sz w:val="18"/>
          <w:szCs w:val="18"/>
          <w:u w:val="single"/>
        </w:rPr>
      </w:pPr>
    </w:p>
    <w:p w14:paraId="7022E9BC" w14:textId="066DBE52" w:rsidR="00BF162F" w:rsidRDefault="00BF162F" w:rsidP="009F0943">
      <w:pPr>
        <w:autoSpaceDE w:val="0"/>
        <w:autoSpaceDN w:val="0"/>
        <w:adjustRightInd w:val="0"/>
        <w:rPr>
          <w:rFonts w:asciiTheme="majorHAnsi" w:hAnsiTheme="majorHAnsi"/>
          <w:b/>
          <w:bCs/>
          <w:color w:val="011979" w:themeColor="accent2"/>
          <w:sz w:val="18"/>
          <w:szCs w:val="18"/>
          <w:u w:val="single"/>
        </w:rPr>
      </w:pPr>
    </w:p>
    <w:p w14:paraId="3B2B0E5B" w14:textId="7DD2863B" w:rsidR="00BF162F" w:rsidRDefault="00BF162F" w:rsidP="009F0943">
      <w:pPr>
        <w:autoSpaceDE w:val="0"/>
        <w:autoSpaceDN w:val="0"/>
        <w:adjustRightInd w:val="0"/>
        <w:rPr>
          <w:rFonts w:asciiTheme="majorHAnsi" w:hAnsiTheme="majorHAnsi"/>
          <w:b/>
          <w:bCs/>
          <w:color w:val="011979" w:themeColor="accent2"/>
          <w:sz w:val="18"/>
          <w:szCs w:val="18"/>
          <w:u w:val="single"/>
        </w:rPr>
      </w:pPr>
    </w:p>
    <w:p w14:paraId="10748916" w14:textId="61BBCA03" w:rsidR="00BF162F" w:rsidRDefault="00BF162F" w:rsidP="009F0943">
      <w:pPr>
        <w:autoSpaceDE w:val="0"/>
        <w:autoSpaceDN w:val="0"/>
        <w:adjustRightInd w:val="0"/>
        <w:rPr>
          <w:rFonts w:asciiTheme="majorHAnsi" w:hAnsiTheme="majorHAnsi"/>
          <w:b/>
          <w:bCs/>
          <w:color w:val="011979" w:themeColor="accent2"/>
          <w:sz w:val="18"/>
          <w:szCs w:val="18"/>
          <w:u w:val="single"/>
        </w:rPr>
      </w:pPr>
    </w:p>
    <w:p w14:paraId="7C41B7B1" w14:textId="00310302" w:rsidR="00BF162F" w:rsidRDefault="00BF162F" w:rsidP="009F0943">
      <w:pPr>
        <w:autoSpaceDE w:val="0"/>
        <w:autoSpaceDN w:val="0"/>
        <w:adjustRightInd w:val="0"/>
        <w:rPr>
          <w:rFonts w:asciiTheme="majorHAnsi" w:hAnsiTheme="majorHAnsi"/>
          <w:b/>
          <w:bCs/>
          <w:color w:val="011979" w:themeColor="accent2"/>
          <w:sz w:val="18"/>
          <w:szCs w:val="18"/>
          <w:u w:val="single"/>
        </w:rPr>
      </w:pPr>
    </w:p>
    <w:p w14:paraId="734D0105" w14:textId="6C2D1DD8" w:rsidR="00BF162F" w:rsidRDefault="00BF162F" w:rsidP="009F0943">
      <w:pPr>
        <w:autoSpaceDE w:val="0"/>
        <w:autoSpaceDN w:val="0"/>
        <w:adjustRightInd w:val="0"/>
        <w:rPr>
          <w:rFonts w:asciiTheme="majorHAnsi" w:hAnsiTheme="majorHAnsi"/>
          <w:b/>
          <w:bCs/>
          <w:color w:val="011979" w:themeColor="accent2"/>
          <w:sz w:val="18"/>
          <w:szCs w:val="18"/>
          <w:u w:val="single"/>
        </w:rPr>
      </w:pPr>
    </w:p>
    <w:p w14:paraId="04854775" w14:textId="2E04BD0D" w:rsidR="00BF162F" w:rsidRDefault="00BF162F" w:rsidP="009F0943">
      <w:pPr>
        <w:autoSpaceDE w:val="0"/>
        <w:autoSpaceDN w:val="0"/>
        <w:adjustRightInd w:val="0"/>
        <w:rPr>
          <w:rFonts w:asciiTheme="majorHAnsi" w:hAnsiTheme="majorHAnsi"/>
          <w:b/>
          <w:bCs/>
          <w:color w:val="011979" w:themeColor="accent2"/>
          <w:sz w:val="18"/>
          <w:szCs w:val="18"/>
          <w:u w:val="single"/>
        </w:rPr>
      </w:pPr>
    </w:p>
    <w:p w14:paraId="06D56156" w14:textId="77777777" w:rsidR="00257B84" w:rsidRDefault="00257B84" w:rsidP="009F0943">
      <w:pPr>
        <w:autoSpaceDE w:val="0"/>
        <w:autoSpaceDN w:val="0"/>
        <w:adjustRightInd w:val="0"/>
        <w:rPr>
          <w:rFonts w:asciiTheme="majorHAnsi" w:hAnsiTheme="majorHAnsi"/>
          <w:b/>
          <w:bCs/>
          <w:color w:val="011979" w:themeColor="accent2"/>
          <w:sz w:val="18"/>
          <w:szCs w:val="18"/>
          <w:u w:val="single"/>
        </w:rPr>
      </w:pPr>
    </w:p>
    <w:p w14:paraId="4AC91FF3" w14:textId="77777777" w:rsidR="009F0943" w:rsidRPr="00726F6E" w:rsidRDefault="009F0943" w:rsidP="009F0943">
      <w:pPr>
        <w:autoSpaceDE w:val="0"/>
        <w:autoSpaceDN w:val="0"/>
        <w:adjustRightInd w:val="0"/>
        <w:ind w:firstLine="720"/>
        <w:rPr>
          <w:rFonts w:asciiTheme="majorHAnsi" w:hAnsiTheme="majorHAnsi"/>
          <w:b/>
          <w:bCs/>
          <w:color w:val="011979" w:themeColor="accent2"/>
          <w:sz w:val="18"/>
          <w:szCs w:val="18"/>
          <w:u w:val="single"/>
        </w:rPr>
      </w:pPr>
    </w:p>
    <w:p w14:paraId="20DB8CF7" w14:textId="77777777" w:rsidR="009F0943" w:rsidRPr="00726F6E" w:rsidRDefault="009F0943" w:rsidP="009F0943">
      <w:pPr>
        <w:autoSpaceDE w:val="0"/>
        <w:autoSpaceDN w:val="0"/>
        <w:adjustRightInd w:val="0"/>
        <w:ind w:firstLine="720"/>
        <w:rPr>
          <w:rFonts w:asciiTheme="majorHAnsi" w:hAnsiTheme="majorHAnsi"/>
          <w:color w:val="011979" w:themeColor="accent2"/>
          <w:sz w:val="18"/>
          <w:szCs w:val="18"/>
          <w:u w:val="single"/>
        </w:rPr>
      </w:pPr>
      <w:r w:rsidRPr="00726F6E">
        <w:rPr>
          <w:rFonts w:asciiTheme="majorHAnsi" w:hAnsiTheme="majorHAnsi"/>
          <w:b/>
          <w:color w:val="011979" w:themeColor="accent2"/>
          <w:sz w:val="18"/>
          <w:szCs w:val="18"/>
          <w:u w:val="single"/>
        </w:rPr>
        <w:t xml:space="preserve">YASAL UYARI </w:t>
      </w:r>
    </w:p>
    <w:p w14:paraId="33C90CE7" w14:textId="0501EEAD" w:rsidR="00163BE2" w:rsidRPr="00726F6E" w:rsidRDefault="009F0943" w:rsidP="00207F14">
      <w:pPr>
        <w:spacing w:before="120" w:after="120"/>
        <w:ind w:left="720" w:right="979"/>
        <w:jc w:val="both"/>
        <w:rPr>
          <w:rFonts w:asciiTheme="majorHAnsi" w:hAnsiTheme="majorHAnsi"/>
          <w:b/>
          <w:bCs/>
          <w:sz w:val="23"/>
          <w:szCs w:val="23"/>
        </w:rPr>
      </w:pPr>
      <w:r w:rsidRPr="00726F6E">
        <w:rPr>
          <w:rFonts w:asciiTheme="majorHAnsi" w:hAnsiTheme="majorHAnsi"/>
          <w:color w:val="000000"/>
          <w:sz w:val="18"/>
          <w:szCs w:val="18"/>
        </w:rPr>
        <w:t>Burada yer alan bilgiler Gedik Yatırım Menkul Değerler A.Ş. tarafından genel bilgilendirme amacı ile hazırlanmıştır. Yatırım Danışmanlığı hizmeti; aracı kurumlar, portföy yönetim şirketleri, mevduat kabul etmeyen bankalar ile müşteri arasında imzalanacak Yatırım Danışmanlığı sözleşmesi çerçevesinde sunulmaktadır. Burada yer alan yorum ve tavsiyeler, yorum ve tavsiyede bulunanların kişisel görüşlerine dayanmaktadır. Herhangi bir yatırım aracının alım-satım önerisi ya da getiri vaadi olarak yorumlanmamalıdır. Bu görüşler mali durumunuz ile risk ve getiri tercihlerinize uygun olmayabilir. Bu nedenle, sadece burada yer alan bilgilere dayanarak yatırım kararı verilmesi beklentilerinize uygun sonuçlar doğurmayabilir. Burada yer alan fiyatlar, veriler ve bilgilerin tam ve doğru olduğu garanti edilemez; içerik, haber verilmeksizin değiştirilebilir. Tüm veriler, Gedik Yatırım Menkul Değerler A.Ş. tarafından güvenilir olduğuna inanılan kaynaklardan alınmıştır. Bu kaynakların kullanılması nedeni ile ortaya çıkabilecek hatalardan Gedik Yatırım Menkul Değerler A.Ş. sorumlu değildir.</w:t>
      </w:r>
    </w:p>
    <w:sectPr w:rsidR="00163BE2" w:rsidRPr="00726F6E" w:rsidSect="00726F6E">
      <w:headerReference w:type="default" r:id="rId19"/>
      <w:footerReference w:type="default" r:id="rId20"/>
      <w:headerReference w:type="first" r:id="rId21"/>
      <w:footerReference w:type="first" r:id="rId22"/>
      <w:pgSz w:w="11906" w:h="16838"/>
      <w:pgMar w:top="1417" w:right="282" w:bottom="1417" w:left="567" w:header="0" w:footer="4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67AAB" w14:textId="77777777" w:rsidR="000B5C32" w:rsidRDefault="000B5C32" w:rsidP="00831CCE">
      <w:pPr>
        <w:spacing w:after="0" w:line="240" w:lineRule="auto"/>
      </w:pPr>
      <w:r>
        <w:separator/>
      </w:r>
    </w:p>
  </w:endnote>
  <w:endnote w:type="continuationSeparator" w:id="0">
    <w:p w14:paraId="6D576DDE" w14:textId="77777777" w:rsidR="000B5C32" w:rsidRDefault="000B5C32" w:rsidP="00831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IBM Plex Sans Light">
    <w:panose1 w:val="020B0403050203000203"/>
    <w:charset w:val="A2"/>
    <w:family w:val="swiss"/>
    <w:pitch w:val="variable"/>
    <w:sig w:usb0="A00002EF" w:usb1="5000207B" w:usb2="00000000" w:usb3="00000000" w:csb0="0000019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Medium">
    <w:panose1 w:val="020B0603050203000203"/>
    <w:charset w:val="A2"/>
    <w:family w:val="swiss"/>
    <w:pitch w:val="variable"/>
    <w:sig w:usb0="A00002EF" w:usb1="5000207B" w:usb2="00000000" w:usb3="00000000" w:csb0="0000019F" w:csb1="00000000"/>
  </w:font>
  <w:font w:name="IBM Plex Sans">
    <w:panose1 w:val="020B0503050203000203"/>
    <w:charset w:val="A2"/>
    <w:family w:val="swiss"/>
    <w:pitch w:val="variable"/>
    <w:sig w:usb0="A00002EF" w:usb1="5000207B" w:usb2="00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995960"/>
      <w:docPartObj>
        <w:docPartGallery w:val="Page Numbers (Bottom of Page)"/>
        <w:docPartUnique/>
      </w:docPartObj>
    </w:sdtPr>
    <w:sdtEndPr>
      <w:rPr>
        <w:b/>
        <w:color w:val="0435F9" w:themeColor="accent1"/>
      </w:rPr>
    </w:sdtEndPr>
    <w:sdtContent>
      <w:p w14:paraId="5190B11E" w14:textId="001668B0" w:rsidR="00726F6E" w:rsidRPr="00726F6E" w:rsidRDefault="00726F6E">
        <w:pPr>
          <w:pStyle w:val="AltBilgi"/>
          <w:jc w:val="right"/>
          <w:rPr>
            <w:b/>
            <w:color w:val="0435F9" w:themeColor="accent1"/>
          </w:rPr>
        </w:pPr>
        <w:r w:rsidRPr="00726F6E">
          <w:rPr>
            <w:b/>
            <w:color w:val="0435F9" w:themeColor="accent1"/>
          </w:rPr>
          <w:fldChar w:fldCharType="begin"/>
        </w:r>
        <w:r w:rsidRPr="00726F6E">
          <w:rPr>
            <w:b/>
            <w:color w:val="0435F9" w:themeColor="accent1"/>
          </w:rPr>
          <w:instrText>PAGE   \* MERGEFORMAT</w:instrText>
        </w:r>
        <w:r w:rsidRPr="00726F6E">
          <w:rPr>
            <w:b/>
            <w:color w:val="0435F9" w:themeColor="accent1"/>
          </w:rPr>
          <w:fldChar w:fldCharType="separate"/>
        </w:r>
        <w:r w:rsidRPr="00726F6E">
          <w:rPr>
            <w:b/>
            <w:color w:val="0435F9" w:themeColor="accent1"/>
          </w:rPr>
          <w:t>2</w:t>
        </w:r>
        <w:r w:rsidRPr="00726F6E">
          <w:rPr>
            <w:b/>
            <w:color w:val="0435F9" w:themeColor="accent1"/>
          </w:rPr>
          <w:fldChar w:fldCharType="end"/>
        </w:r>
      </w:p>
    </w:sdtContent>
  </w:sdt>
  <w:p w14:paraId="40FF6061" w14:textId="76BAE1A1" w:rsidR="00831CCE" w:rsidRDefault="00726F6E" w:rsidP="00FA055D">
    <w:pPr>
      <w:pStyle w:val="AltBilgi"/>
      <w:tabs>
        <w:tab w:val="clear" w:pos="9072"/>
      </w:tabs>
      <w:ind w:left="-567"/>
    </w:pPr>
    <w:r>
      <w:rPr>
        <w:noProof/>
        <w:lang w:eastAsia="tr-TR"/>
      </w:rPr>
      <w:drawing>
        <wp:anchor distT="0" distB="0" distL="114300" distR="114300" simplePos="0" relativeHeight="251663360" behindDoc="1" locked="0" layoutInCell="1" allowOverlap="1" wp14:anchorId="7B1B8856" wp14:editId="7B83756D">
          <wp:simplePos x="0" y="0"/>
          <wp:positionH relativeFrom="page">
            <wp:posOffset>0</wp:posOffset>
          </wp:positionH>
          <wp:positionV relativeFrom="paragraph">
            <wp:posOffset>113665</wp:posOffset>
          </wp:positionV>
          <wp:extent cx="7560000" cy="318424"/>
          <wp:effectExtent l="0" t="0" r="0" b="5715"/>
          <wp:wrapNone/>
          <wp:docPr id="86" name="Resi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318424"/>
                  </a:xfrm>
                  <a:prstGeom prst="rect">
                    <a:avLst/>
                  </a:prstGeom>
                  <a:noFill/>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3C9BE" w14:textId="4941DC10" w:rsidR="009F0943" w:rsidRDefault="00490398">
    <w:pPr>
      <w:pStyle w:val="AltBilgi"/>
    </w:pPr>
    <w:r>
      <w:rPr>
        <w:noProof/>
        <w:lang w:eastAsia="tr-TR"/>
      </w:rPr>
      <w:drawing>
        <wp:anchor distT="0" distB="0" distL="114300" distR="114300" simplePos="0" relativeHeight="251661312" behindDoc="1" locked="0" layoutInCell="1" allowOverlap="1" wp14:anchorId="014A1C1B" wp14:editId="68D801B6">
          <wp:simplePos x="0" y="0"/>
          <wp:positionH relativeFrom="page">
            <wp:posOffset>0</wp:posOffset>
          </wp:positionH>
          <wp:positionV relativeFrom="paragraph">
            <wp:posOffset>121920</wp:posOffset>
          </wp:positionV>
          <wp:extent cx="7560000" cy="318424"/>
          <wp:effectExtent l="0" t="0" r="0" b="5715"/>
          <wp:wrapNone/>
          <wp:docPr id="88" name="Resi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318424"/>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2484D" w14:textId="77777777" w:rsidR="000B5C32" w:rsidRDefault="000B5C32" w:rsidP="00831CCE">
      <w:pPr>
        <w:spacing w:after="0" w:line="240" w:lineRule="auto"/>
      </w:pPr>
      <w:r>
        <w:separator/>
      </w:r>
    </w:p>
  </w:footnote>
  <w:footnote w:type="continuationSeparator" w:id="0">
    <w:p w14:paraId="3EECB84C" w14:textId="77777777" w:rsidR="000B5C32" w:rsidRDefault="000B5C32" w:rsidP="00831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2A08" w14:textId="1D3614ED" w:rsidR="00490398" w:rsidRDefault="00490398">
    <w:pPr>
      <w:pStyle w:val="stBilgi"/>
    </w:pPr>
    <w:r>
      <w:rPr>
        <w:noProof/>
      </w:rPr>
      <mc:AlternateContent>
        <mc:Choice Requires="wps">
          <w:drawing>
            <wp:anchor distT="0" distB="0" distL="114300" distR="114300" simplePos="0" relativeHeight="251660288" behindDoc="0" locked="0" layoutInCell="1" allowOverlap="1" wp14:anchorId="3ECD7F8C" wp14:editId="05DC6DF2">
              <wp:simplePos x="0" y="0"/>
              <wp:positionH relativeFrom="margin">
                <wp:posOffset>2243455</wp:posOffset>
              </wp:positionH>
              <wp:positionV relativeFrom="paragraph">
                <wp:posOffset>76200</wp:posOffset>
              </wp:positionV>
              <wp:extent cx="2692400" cy="365760"/>
              <wp:effectExtent l="0" t="0" r="0" b="0"/>
              <wp:wrapNone/>
              <wp:docPr id="18" name="Metin Kutusu 18"/>
              <wp:cNvGraphicFramePr/>
              <a:graphic xmlns:a="http://schemas.openxmlformats.org/drawingml/2006/main">
                <a:graphicData uri="http://schemas.microsoft.com/office/word/2010/wordprocessingShape">
                  <wps:wsp>
                    <wps:cNvSpPr txBox="1"/>
                    <wps:spPr>
                      <a:xfrm>
                        <a:off x="0" y="0"/>
                        <a:ext cx="2692400" cy="365760"/>
                      </a:xfrm>
                      <a:prstGeom prst="rect">
                        <a:avLst/>
                      </a:prstGeom>
                      <a:noFill/>
                      <a:ln w="6350">
                        <a:noFill/>
                      </a:ln>
                    </wps:spPr>
                    <wps:txbx>
                      <w:txbxContent>
                        <w:p w14:paraId="3FA7067F" w14:textId="592D9D52" w:rsidR="00490398" w:rsidRDefault="00490398" w:rsidP="000B6F59">
                          <w:pPr>
                            <w:spacing w:line="224" w:lineRule="exact"/>
                            <w:ind w:left="20"/>
                            <w:jc w:val="center"/>
                          </w:pPr>
                          <w:r w:rsidRPr="00490398">
                            <w:rPr>
                              <w:rFonts w:asciiTheme="majorHAnsi" w:eastAsia="Arial" w:hAnsiTheme="majorHAnsi"/>
                              <w:b/>
                              <w:color w:val="FFFFFF" w:themeColor="background1"/>
                            </w:rPr>
                            <w:t xml:space="preserve">Makro Görünüm </w:t>
                          </w:r>
                          <w:r w:rsidR="003231FB">
                            <w:rPr>
                              <w:rFonts w:asciiTheme="majorHAnsi" w:eastAsia="Arial" w:hAnsiTheme="majorHAnsi"/>
                              <w:b/>
                              <w:color w:val="FFFFFF" w:themeColor="background1"/>
                            </w:rPr>
                            <w:t>–</w:t>
                          </w:r>
                          <w:r w:rsidRPr="00490398">
                            <w:rPr>
                              <w:rFonts w:asciiTheme="majorHAnsi" w:eastAsia="Arial" w:hAnsiTheme="majorHAnsi"/>
                              <w:b/>
                              <w:color w:val="FFFFFF" w:themeColor="background1"/>
                            </w:rPr>
                            <w:t xml:space="preserve"> </w:t>
                          </w:r>
                          <w:r w:rsidR="0017784A">
                            <w:rPr>
                              <w:rFonts w:asciiTheme="majorHAnsi" w:eastAsia="Arial" w:hAnsiTheme="majorHAnsi"/>
                              <w:b/>
                              <w:color w:val="FFFFFF" w:themeColor="background1"/>
                            </w:rPr>
                            <w:t>Enflasyon Tahminleri</w:t>
                          </w:r>
                          <w:r w:rsidR="007628E9">
                            <w:rPr>
                              <w:rFonts w:asciiTheme="majorHAnsi" w:eastAsia="Arial" w:hAnsiTheme="majorHAnsi"/>
                              <w:b/>
                              <w:color w:val="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CD7F8C" id="_x0000_t202" coordsize="21600,21600" o:spt="202" path="m,l,21600r21600,l21600,xe">
              <v:stroke joinstyle="miter"/>
              <v:path gradientshapeok="t" o:connecttype="rect"/>
            </v:shapetype>
            <v:shape id="Metin Kutusu 18" o:spid="_x0000_s1034" type="#_x0000_t202" style="position:absolute;margin-left:176.65pt;margin-top:6pt;width:212pt;height:2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" filled="f" stroked="f" strokeweight=".5pt">
              <v:textbox>
                <w:txbxContent>
                  <w:p w14:paraId="3FA7067F" w14:textId="592D9D52" w:rsidR="00490398" w:rsidRDefault="00490398" w:rsidP="000B6F59">
                    <w:pPr>
                      <w:spacing w:line="224" w:lineRule="exact"/>
                      <w:ind w:left="20"/>
                      <w:jc w:val="center"/>
                    </w:pPr>
                    <w:r w:rsidRPr="00490398">
                      <w:rPr>
                        <w:rFonts w:asciiTheme="majorHAnsi" w:eastAsia="Arial" w:hAnsiTheme="majorHAnsi"/>
                        <w:b/>
                        <w:color w:val="FFFFFF" w:themeColor="background1"/>
                      </w:rPr>
                      <w:t xml:space="preserve">Makro Görünüm </w:t>
                    </w:r>
                    <w:r w:rsidR="003231FB">
                      <w:rPr>
                        <w:rFonts w:asciiTheme="majorHAnsi" w:eastAsia="Arial" w:hAnsiTheme="majorHAnsi"/>
                        <w:b/>
                        <w:color w:val="FFFFFF" w:themeColor="background1"/>
                      </w:rPr>
                      <w:t>–</w:t>
                    </w:r>
                    <w:r w:rsidRPr="00490398">
                      <w:rPr>
                        <w:rFonts w:asciiTheme="majorHAnsi" w:eastAsia="Arial" w:hAnsiTheme="majorHAnsi"/>
                        <w:b/>
                        <w:color w:val="FFFFFF" w:themeColor="background1"/>
                      </w:rPr>
                      <w:t xml:space="preserve"> </w:t>
                    </w:r>
                    <w:r w:rsidR="0017784A">
                      <w:rPr>
                        <w:rFonts w:asciiTheme="majorHAnsi" w:eastAsia="Arial" w:hAnsiTheme="majorHAnsi"/>
                        <w:b/>
                        <w:color w:val="FFFFFF" w:themeColor="background1"/>
                      </w:rPr>
                      <w:t>Enflasyon Tahminleri</w:t>
                    </w:r>
                    <w:r w:rsidR="007628E9">
                      <w:rPr>
                        <w:rFonts w:asciiTheme="majorHAnsi" w:eastAsia="Arial" w:hAnsiTheme="majorHAnsi"/>
                        <w:b/>
                        <w:color w:val="FFFFFF" w:themeColor="background1"/>
                      </w:rPr>
                      <w:t xml:space="preserve"> </w:t>
                    </w:r>
                  </w:p>
                </w:txbxContent>
              </v:textbox>
              <w10:wrap anchorx="margin"/>
            </v:shape>
          </w:pict>
        </mc:Fallback>
      </mc:AlternateContent>
    </w:r>
    <w:r>
      <w:rPr>
        <w:noProof/>
      </w:rPr>
      <w:drawing>
        <wp:anchor distT="0" distB="0" distL="114300" distR="114300" simplePos="0" relativeHeight="251659264" behindDoc="0" locked="0" layoutInCell="1" allowOverlap="1" wp14:anchorId="7CF674CB" wp14:editId="58A00FCA">
          <wp:simplePos x="0" y="0"/>
          <wp:positionH relativeFrom="column">
            <wp:posOffset>-360045</wp:posOffset>
          </wp:positionH>
          <wp:positionV relativeFrom="paragraph">
            <wp:posOffset>0</wp:posOffset>
          </wp:positionV>
          <wp:extent cx="7559675" cy="534035"/>
          <wp:effectExtent l="0" t="0" r="3175" b="0"/>
          <wp:wrapNone/>
          <wp:docPr id="85" name="Resi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53403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FBD26" w14:textId="613903FB" w:rsidR="00301792" w:rsidRPr="00301792" w:rsidRDefault="00A12219" w:rsidP="00301792">
    <w:pPr>
      <w:pStyle w:val="stBilgi"/>
      <w:ind w:hanging="567"/>
    </w:pPr>
    <w:r>
      <w:rPr>
        <w:noProof/>
      </w:rPr>
      <w:drawing>
        <wp:inline distT="0" distB="0" distL="0" distR="0" wp14:anchorId="1332E06B" wp14:editId="542BF48D">
          <wp:extent cx="7560000" cy="1677460"/>
          <wp:effectExtent l="0" t="0" r="317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6774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7F5"/>
    <w:multiLevelType w:val="hybridMultilevel"/>
    <w:tmpl w:val="B8D8A8D6"/>
    <w:lvl w:ilvl="0" w:tplc="E28EFA88">
      <w:numFmt w:val="bullet"/>
      <w:lvlText w:val=""/>
      <w:lvlJc w:val="left"/>
      <w:pPr>
        <w:ind w:left="423" w:hanging="360"/>
      </w:pPr>
      <w:rPr>
        <w:rFonts w:ascii="Symbol" w:eastAsiaTheme="minorHAnsi" w:hAnsi="Symbol" w:cs="Arial" w:hint="default"/>
        <w:b/>
        <w:sz w:val="16"/>
      </w:rPr>
    </w:lvl>
    <w:lvl w:ilvl="1" w:tplc="08090003" w:tentative="1">
      <w:start w:val="1"/>
      <w:numFmt w:val="bullet"/>
      <w:lvlText w:val="o"/>
      <w:lvlJc w:val="left"/>
      <w:pPr>
        <w:ind w:left="1143" w:hanging="360"/>
      </w:pPr>
      <w:rPr>
        <w:rFonts w:ascii="Courier New" w:hAnsi="Courier New" w:cs="Courier New" w:hint="default"/>
      </w:rPr>
    </w:lvl>
    <w:lvl w:ilvl="2" w:tplc="08090005" w:tentative="1">
      <w:start w:val="1"/>
      <w:numFmt w:val="bullet"/>
      <w:lvlText w:val=""/>
      <w:lvlJc w:val="left"/>
      <w:pPr>
        <w:ind w:left="1863" w:hanging="360"/>
      </w:pPr>
      <w:rPr>
        <w:rFonts w:ascii="Wingdings" w:hAnsi="Wingdings" w:hint="default"/>
      </w:rPr>
    </w:lvl>
    <w:lvl w:ilvl="3" w:tplc="08090001" w:tentative="1">
      <w:start w:val="1"/>
      <w:numFmt w:val="bullet"/>
      <w:lvlText w:val=""/>
      <w:lvlJc w:val="left"/>
      <w:pPr>
        <w:ind w:left="2583" w:hanging="360"/>
      </w:pPr>
      <w:rPr>
        <w:rFonts w:ascii="Symbol" w:hAnsi="Symbol" w:hint="default"/>
      </w:rPr>
    </w:lvl>
    <w:lvl w:ilvl="4" w:tplc="08090003" w:tentative="1">
      <w:start w:val="1"/>
      <w:numFmt w:val="bullet"/>
      <w:lvlText w:val="o"/>
      <w:lvlJc w:val="left"/>
      <w:pPr>
        <w:ind w:left="3303" w:hanging="360"/>
      </w:pPr>
      <w:rPr>
        <w:rFonts w:ascii="Courier New" w:hAnsi="Courier New" w:cs="Courier New" w:hint="default"/>
      </w:rPr>
    </w:lvl>
    <w:lvl w:ilvl="5" w:tplc="08090005" w:tentative="1">
      <w:start w:val="1"/>
      <w:numFmt w:val="bullet"/>
      <w:lvlText w:val=""/>
      <w:lvlJc w:val="left"/>
      <w:pPr>
        <w:ind w:left="4023" w:hanging="360"/>
      </w:pPr>
      <w:rPr>
        <w:rFonts w:ascii="Wingdings" w:hAnsi="Wingdings" w:hint="default"/>
      </w:rPr>
    </w:lvl>
    <w:lvl w:ilvl="6" w:tplc="08090001" w:tentative="1">
      <w:start w:val="1"/>
      <w:numFmt w:val="bullet"/>
      <w:lvlText w:val=""/>
      <w:lvlJc w:val="left"/>
      <w:pPr>
        <w:ind w:left="4743" w:hanging="360"/>
      </w:pPr>
      <w:rPr>
        <w:rFonts w:ascii="Symbol" w:hAnsi="Symbol" w:hint="default"/>
      </w:rPr>
    </w:lvl>
    <w:lvl w:ilvl="7" w:tplc="08090003" w:tentative="1">
      <w:start w:val="1"/>
      <w:numFmt w:val="bullet"/>
      <w:lvlText w:val="o"/>
      <w:lvlJc w:val="left"/>
      <w:pPr>
        <w:ind w:left="5463" w:hanging="360"/>
      </w:pPr>
      <w:rPr>
        <w:rFonts w:ascii="Courier New" w:hAnsi="Courier New" w:cs="Courier New" w:hint="default"/>
      </w:rPr>
    </w:lvl>
    <w:lvl w:ilvl="8" w:tplc="08090005" w:tentative="1">
      <w:start w:val="1"/>
      <w:numFmt w:val="bullet"/>
      <w:lvlText w:val=""/>
      <w:lvlJc w:val="left"/>
      <w:pPr>
        <w:ind w:left="6183" w:hanging="360"/>
      </w:pPr>
      <w:rPr>
        <w:rFonts w:ascii="Wingdings" w:hAnsi="Wingdings" w:hint="default"/>
      </w:rPr>
    </w:lvl>
  </w:abstractNum>
  <w:abstractNum w:abstractNumId="1" w15:restartNumberingAfterBreak="0">
    <w:nsid w:val="566E720D"/>
    <w:multiLevelType w:val="hybridMultilevel"/>
    <w:tmpl w:val="818C801A"/>
    <w:lvl w:ilvl="0" w:tplc="E7286B08">
      <w:numFmt w:val="bullet"/>
      <w:lvlText w:val=""/>
      <w:lvlJc w:val="left"/>
      <w:pPr>
        <w:ind w:left="720" w:hanging="360"/>
      </w:pPr>
      <w:rPr>
        <w:rFonts w:ascii="Symbol" w:eastAsiaTheme="minorHAnsi"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CC52957"/>
    <w:multiLevelType w:val="hybridMultilevel"/>
    <w:tmpl w:val="4F340B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CCE"/>
    <w:rsid w:val="00000E37"/>
    <w:rsid w:val="000023DA"/>
    <w:rsid w:val="000062E1"/>
    <w:rsid w:val="00010D6F"/>
    <w:rsid w:val="00014269"/>
    <w:rsid w:val="000145D3"/>
    <w:rsid w:val="00014718"/>
    <w:rsid w:val="00022A0B"/>
    <w:rsid w:val="00025341"/>
    <w:rsid w:val="00030D4B"/>
    <w:rsid w:val="00032921"/>
    <w:rsid w:val="00034AB6"/>
    <w:rsid w:val="00040D11"/>
    <w:rsid w:val="00041886"/>
    <w:rsid w:val="00041E20"/>
    <w:rsid w:val="00043BDA"/>
    <w:rsid w:val="0004517C"/>
    <w:rsid w:val="00046C6D"/>
    <w:rsid w:val="000573FE"/>
    <w:rsid w:val="00057B8E"/>
    <w:rsid w:val="000631CA"/>
    <w:rsid w:val="00064949"/>
    <w:rsid w:val="00074E1E"/>
    <w:rsid w:val="000809A1"/>
    <w:rsid w:val="000879A5"/>
    <w:rsid w:val="00087E4A"/>
    <w:rsid w:val="00090AF8"/>
    <w:rsid w:val="000912FC"/>
    <w:rsid w:val="0009347D"/>
    <w:rsid w:val="00095375"/>
    <w:rsid w:val="000A163F"/>
    <w:rsid w:val="000A493C"/>
    <w:rsid w:val="000A552C"/>
    <w:rsid w:val="000B5C32"/>
    <w:rsid w:val="000B6B80"/>
    <w:rsid w:val="000B6F59"/>
    <w:rsid w:val="000C0055"/>
    <w:rsid w:val="000C2B57"/>
    <w:rsid w:val="000C6299"/>
    <w:rsid w:val="000C6C69"/>
    <w:rsid w:val="000D47F3"/>
    <w:rsid w:val="000D6209"/>
    <w:rsid w:val="000E3045"/>
    <w:rsid w:val="000E5950"/>
    <w:rsid w:val="000E78C3"/>
    <w:rsid w:val="000E7A4E"/>
    <w:rsid w:val="000E7A64"/>
    <w:rsid w:val="000F0FDB"/>
    <w:rsid w:val="000F3A6E"/>
    <w:rsid w:val="000F6FB2"/>
    <w:rsid w:val="000F75CF"/>
    <w:rsid w:val="0010119F"/>
    <w:rsid w:val="001028F5"/>
    <w:rsid w:val="00104E39"/>
    <w:rsid w:val="0010644C"/>
    <w:rsid w:val="001103CA"/>
    <w:rsid w:val="00111532"/>
    <w:rsid w:val="0011347F"/>
    <w:rsid w:val="00126875"/>
    <w:rsid w:val="00131358"/>
    <w:rsid w:val="00141105"/>
    <w:rsid w:val="001433F2"/>
    <w:rsid w:val="00145E00"/>
    <w:rsid w:val="00151884"/>
    <w:rsid w:val="00155948"/>
    <w:rsid w:val="00155B98"/>
    <w:rsid w:val="00157EE8"/>
    <w:rsid w:val="00160197"/>
    <w:rsid w:val="00163BE2"/>
    <w:rsid w:val="001648BE"/>
    <w:rsid w:val="001659D0"/>
    <w:rsid w:val="0016775E"/>
    <w:rsid w:val="00171084"/>
    <w:rsid w:val="001731CB"/>
    <w:rsid w:val="00176235"/>
    <w:rsid w:val="0017784A"/>
    <w:rsid w:val="00182D0D"/>
    <w:rsid w:val="00182F3D"/>
    <w:rsid w:val="00186DBD"/>
    <w:rsid w:val="00193D37"/>
    <w:rsid w:val="00194E2C"/>
    <w:rsid w:val="001A7761"/>
    <w:rsid w:val="001B4BCD"/>
    <w:rsid w:val="001C301D"/>
    <w:rsid w:val="001E3C09"/>
    <w:rsid w:val="001E5F46"/>
    <w:rsid w:val="001E726D"/>
    <w:rsid w:val="001E754C"/>
    <w:rsid w:val="001F0EA1"/>
    <w:rsid w:val="001F3B07"/>
    <w:rsid w:val="001F3F21"/>
    <w:rsid w:val="001F443C"/>
    <w:rsid w:val="001F4DF9"/>
    <w:rsid w:val="00203546"/>
    <w:rsid w:val="00207BEE"/>
    <w:rsid w:val="00207F14"/>
    <w:rsid w:val="00211223"/>
    <w:rsid w:val="002136B5"/>
    <w:rsid w:val="00216B23"/>
    <w:rsid w:val="00217C22"/>
    <w:rsid w:val="00221B4A"/>
    <w:rsid w:val="00222F91"/>
    <w:rsid w:val="0023370C"/>
    <w:rsid w:val="002352EC"/>
    <w:rsid w:val="002353F6"/>
    <w:rsid w:val="00241B73"/>
    <w:rsid w:val="0024281C"/>
    <w:rsid w:val="002442CE"/>
    <w:rsid w:val="002452FC"/>
    <w:rsid w:val="002455DF"/>
    <w:rsid w:val="00247438"/>
    <w:rsid w:val="0025127C"/>
    <w:rsid w:val="00256C19"/>
    <w:rsid w:val="00257B84"/>
    <w:rsid w:val="002617B0"/>
    <w:rsid w:val="00261B4A"/>
    <w:rsid w:val="0026434B"/>
    <w:rsid w:val="00265E91"/>
    <w:rsid w:val="002722F7"/>
    <w:rsid w:val="00275BD1"/>
    <w:rsid w:val="00276DB0"/>
    <w:rsid w:val="002844A5"/>
    <w:rsid w:val="00284CBC"/>
    <w:rsid w:val="00284DB0"/>
    <w:rsid w:val="00291617"/>
    <w:rsid w:val="002936EA"/>
    <w:rsid w:val="002A174B"/>
    <w:rsid w:val="002A3788"/>
    <w:rsid w:val="002A4345"/>
    <w:rsid w:val="002A529D"/>
    <w:rsid w:val="002A53E1"/>
    <w:rsid w:val="002A7D32"/>
    <w:rsid w:val="002B1117"/>
    <w:rsid w:val="002B26CB"/>
    <w:rsid w:val="002B2CFF"/>
    <w:rsid w:val="002C2829"/>
    <w:rsid w:val="002C30DD"/>
    <w:rsid w:val="002C41DD"/>
    <w:rsid w:val="002C7832"/>
    <w:rsid w:val="002D069D"/>
    <w:rsid w:val="002D2153"/>
    <w:rsid w:val="002D24A1"/>
    <w:rsid w:val="002E0935"/>
    <w:rsid w:val="002E52C6"/>
    <w:rsid w:val="002E5EE4"/>
    <w:rsid w:val="002E6A6F"/>
    <w:rsid w:val="002E7A86"/>
    <w:rsid w:val="002E7CFD"/>
    <w:rsid w:val="002E7DBA"/>
    <w:rsid w:val="002F36F3"/>
    <w:rsid w:val="002F5581"/>
    <w:rsid w:val="002F5C74"/>
    <w:rsid w:val="002F65EC"/>
    <w:rsid w:val="00300612"/>
    <w:rsid w:val="00301792"/>
    <w:rsid w:val="00305EBB"/>
    <w:rsid w:val="0030655B"/>
    <w:rsid w:val="00310CAE"/>
    <w:rsid w:val="003127AC"/>
    <w:rsid w:val="0031294C"/>
    <w:rsid w:val="00313172"/>
    <w:rsid w:val="00317F2A"/>
    <w:rsid w:val="00322B92"/>
    <w:rsid w:val="003231FB"/>
    <w:rsid w:val="00330771"/>
    <w:rsid w:val="0033231F"/>
    <w:rsid w:val="003377DD"/>
    <w:rsid w:val="00337F4F"/>
    <w:rsid w:val="00342B6E"/>
    <w:rsid w:val="0034307A"/>
    <w:rsid w:val="0034452C"/>
    <w:rsid w:val="0035794E"/>
    <w:rsid w:val="003579DE"/>
    <w:rsid w:val="00362E31"/>
    <w:rsid w:val="00363202"/>
    <w:rsid w:val="00370B98"/>
    <w:rsid w:val="00371AF7"/>
    <w:rsid w:val="00374924"/>
    <w:rsid w:val="003761AE"/>
    <w:rsid w:val="003802B1"/>
    <w:rsid w:val="0038121F"/>
    <w:rsid w:val="00385AAE"/>
    <w:rsid w:val="003919F3"/>
    <w:rsid w:val="00392D3B"/>
    <w:rsid w:val="00394655"/>
    <w:rsid w:val="00394E7B"/>
    <w:rsid w:val="003A0894"/>
    <w:rsid w:val="003A4651"/>
    <w:rsid w:val="003A58AB"/>
    <w:rsid w:val="003C1EBC"/>
    <w:rsid w:val="003C50E9"/>
    <w:rsid w:val="003C5AE1"/>
    <w:rsid w:val="003D0860"/>
    <w:rsid w:val="003D0B48"/>
    <w:rsid w:val="003D703B"/>
    <w:rsid w:val="003D72E6"/>
    <w:rsid w:val="003D767B"/>
    <w:rsid w:val="003E08B2"/>
    <w:rsid w:val="003E4580"/>
    <w:rsid w:val="003E577B"/>
    <w:rsid w:val="003F1075"/>
    <w:rsid w:val="003F3B9B"/>
    <w:rsid w:val="003F59C6"/>
    <w:rsid w:val="003F6D28"/>
    <w:rsid w:val="003F7BA2"/>
    <w:rsid w:val="0040221D"/>
    <w:rsid w:val="00404081"/>
    <w:rsid w:val="00404F81"/>
    <w:rsid w:val="0041102D"/>
    <w:rsid w:val="00415E20"/>
    <w:rsid w:val="00426001"/>
    <w:rsid w:val="00426782"/>
    <w:rsid w:val="00444C5E"/>
    <w:rsid w:val="00472BC9"/>
    <w:rsid w:val="00472C2A"/>
    <w:rsid w:val="00474C7D"/>
    <w:rsid w:val="00477798"/>
    <w:rsid w:val="0048245C"/>
    <w:rsid w:val="00484A45"/>
    <w:rsid w:val="00484D81"/>
    <w:rsid w:val="00487CE0"/>
    <w:rsid w:val="00490398"/>
    <w:rsid w:val="004910C6"/>
    <w:rsid w:val="00496619"/>
    <w:rsid w:val="0049791F"/>
    <w:rsid w:val="004A29A1"/>
    <w:rsid w:val="004A575D"/>
    <w:rsid w:val="004A58DF"/>
    <w:rsid w:val="004A7990"/>
    <w:rsid w:val="004B0211"/>
    <w:rsid w:val="004B53BA"/>
    <w:rsid w:val="004C0FAD"/>
    <w:rsid w:val="004C562F"/>
    <w:rsid w:val="004D3222"/>
    <w:rsid w:val="004D3533"/>
    <w:rsid w:val="004E1058"/>
    <w:rsid w:val="004E4025"/>
    <w:rsid w:val="004E4A13"/>
    <w:rsid w:val="004F0993"/>
    <w:rsid w:val="0050029A"/>
    <w:rsid w:val="005010F4"/>
    <w:rsid w:val="0051711F"/>
    <w:rsid w:val="005214E8"/>
    <w:rsid w:val="00524486"/>
    <w:rsid w:val="00527E03"/>
    <w:rsid w:val="00530880"/>
    <w:rsid w:val="00530E57"/>
    <w:rsid w:val="005338F5"/>
    <w:rsid w:val="00543272"/>
    <w:rsid w:val="00551E32"/>
    <w:rsid w:val="00551E87"/>
    <w:rsid w:val="00552824"/>
    <w:rsid w:val="00554335"/>
    <w:rsid w:val="00556ED6"/>
    <w:rsid w:val="00557C0D"/>
    <w:rsid w:val="005604BA"/>
    <w:rsid w:val="00564390"/>
    <w:rsid w:val="00565150"/>
    <w:rsid w:val="00571C7E"/>
    <w:rsid w:val="0057343A"/>
    <w:rsid w:val="0058061B"/>
    <w:rsid w:val="005853A0"/>
    <w:rsid w:val="00585C14"/>
    <w:rsid w:val="005863C4"/>
    <w:rsid w:val="00590E24"/>
    <w:rsid w:val="005912E2"/>
    <w:rsid w:val="00592043"/>
    <w:rsid w:val="00595195"/>
    <w:rsid w:val="005968F8"/>
    <w:rsid w:val="005971CB"/>
    <w:rsid w:val="0059777C"/>
    <w:rsid w:val="005A0BEC"/>
    <w:rsid w:val="005A6490"/>
    <w:rsid w:val="005A686E"/>
    <w:rsid w:val="005A7BCB"/>
    <w:rsid w:val="005B1FBE"/>
    <w:rsid w:val="005B246F"/>
    <w:rsid w:val="005B722E"/>
    <w:rsid w:val="005C1495"/>
    <w:rsid w:val="005C1B7E"/>
    <w:rsid w:val="005C27A0"/>
    <w:rsid w:val="005C3F4B"/>
    <w:rsid w:val="005C62DC"/>
    <w:rsid w:val="005C694C"/>
    <w:rsid w:val="005D0C58"/>
    <w:rsid w:val="005D123A"/>
    <w:rsid w:val="005D23A4"/>
    <w:rsid w:val="005D5CC1"/>
    <w:rsid w:val="005D6469"/>
    <w:rsid w:val="005E3E90"/>
    <w:rsid w:val="005E4F7F"/>
    <w:rsid w:val="005F3CDE"/>
    <w:rsid w:val="005F3ECD"/>
    <w:rsid w:val="005F6237"/>
    <w:rsid w:val="005F761E"/>
    <w:rsid w:val="00600BA9"/>
    <w:rsid w:val="0060315F"/>
    <w:rsid w:val="00603739"/>
    <w:rsid w:val="00604A15"/>
    <w:rsid w:val="00611D9A"/>
    <w:rsid w:val="00615CC4"/>
    <w:rsid w:val="0062665B"/>
    <w:rsid w:val="006317C7"/>
    <w:rsid w:val="00631EE1"/>
    <w:rsid w:val="0063799D"/>
    <w:rsid w:val="00640C7D"/>
    <w:rsid w:val="0064401B"/>
    <w:rsid w:val="006464C3"/>
    <w:rsid w:val="006512E3"/>
    <w:rsid w:val="00653344"/>
    <w:rsid w:val="0065393D"/>
    <w:rsid w:val="006619EA"/>
    <w:rsid w:val="00662047"/>
    <w:rsid w:val="00670272"/>
    <w:rsid w:val="00674AB2"/>
    <w:rsid w:val="00677739"/>
    <w:rsid w:val="006803D6"/>
    <w:rsid w:val="00680BF9"/>
    <w:rsid w:val="00683CAB"/>
    <w:rsid w:val="00683F3A"/>
    <w:rsid w:val="0069025D"/>
    <w:rsid w:val="00692614"/>
    <w:rsid w:val="006931E6"/>
    <w:rsid w:val="006931EA"/>
    <w:rsid w:val="006A11A7"/>
    <w:rsid w:val="006A12B3"/>
    <w:rsid w:val="006B0B55"/>
    <w:rsid w:val="006B1438"/>
    <w:rsid w:val="006B31FB"/>
    <w:rsid w:val="006B4FFE"/>
    <w:rsid w:val="006C04A1"/>
    <w:rsid w:val="006C2430"/>
    <w:rsid w:val="006C3BD5"/>
    <w:rsid w:val="006D5066"/>
    <w:rsid w:val="006E032A"/>
    <w:rsid w:val="006E0F02"/>
    <w:rsid w:val="006E1F38"/>
    <w:rsid w:val="006E4175"/>
    <w:rsid w:val="006E60A4"/>
    <w:rsid w:val="006E7348"/>
    <w:rsid w:val="006E780E"/>
    <w:rsid w:val="006F130F"/>
    <w:rsid w:val="006F1D1C"/>
    <w:rsid w:val="006F2946"/>
    <w:rsid w:val="006F4F10"/>
    <w:rsid w:val="006F5990"/>
    <w:rsid w:val="006F7A97"/>
    <w:rsid w:val="00700E6A"/>
    <w:rsid w:val="007064D8"/>
    <w:rsid w:val="0071569F"/>
    <w:rsid w:val="00722D50"/>
    <w:rsid w:val="00726003"/>
    <w:rsid w:val="00726F6E"/>
    <w:rsid w:val="00727CBE"/>
    <w:rsid w:val="007308CF"/>
    <w:rsid w:val="00730A41"/>
    <w:rsid w:val="007327FA"/>
    <w:rsid w:val="0074282D"/>
    <w:rsid w:val="00743BC2"/>
    <w:rsid w:val="007458A9"/>
    <w:rsid w:val="00753B42"/>
    <w:rsid w:val="0075665B"/>
    <w:rsid w:val="00757F37"/>
    <w:rsid w:val="0076277A"/>
    <w:rsid w:val="007628E9"/>
    <w:rsid w:val="00766887"/>
    <w:rsid w:val="00772B31"/>
    <w:rsid w:val="00777F6A"/>
    <w:rsid w:val="007812B3"/>
    <w:rsid w:val="007859D8"/>
    <w:rsid w:val="00786C83"/>
    <w:rsid w:val="00787BEF"/>
    <w:rsid w:val="00787E06"/>
    <w:rsid w:val="007905E7"/>
    <w:rsid w:val="00794587"/>
    <w:rsid w:val="00795B36"/>
    <w:rsid w:val="0079650A"/>
    <w:rsid w:val="007B02E5"/>
    <w:rsid w:val="007B324B"/>
    <w:rsid w:val="007B76B5"/>
    <w:rsid w:val="007C0D4A"/>
    <w:rsid w:val="007C39A9"/>
    <w:rsid w:val="007C409E"/>
    <w:rsid w:val="007C4E8A"/>
    <w:rsid w:val="007C736F"/>
    <w:rsid w:val="007D0B9C"/>
    <w:rsid w:val="007D1B02"/>
    <w:rsid w:val="007D2610"/>
    <w:rsid w:val="007D473E"/>
    <w:rsid w:val="007D51F1"/>
    <w:rsid w:val="007D541E"/>
    <w:rsid w:val="007D7DC0"/>
    <w:rsid w:val="007E41D3"/>
    <w:rsid w:val="007E6234"/>
    <w:rsid w:val="007F2D48"/>
    <w:rsid w:val="007F347A"/>
    <w:rsid w:val="007F4F4B"/>
    <w:rsid w:val="00800285"/>
    <w:rsid w:val="0080147C"/>
    <w:rsid w:val="00805805"/>
    <w:rsid w:val="0080703B"/>
    <w:rsid w:val="00807745"/>
    <w:rsid w:val="00811180"/>
    <w:rsid w:val="00822E13"/>
    <w:rsid w:val="00830767"/>
    <w:rsid w:val="00830AC4"/>
    <w:rsid w:val="00831CCE"/>
    <w:rsid w:val="00833728"/>
    <w:rsid w:val="00840062"/>
    <w:rsid w:val="008410F9"/>
    <w:rsid w:val="0084251D"/>
    <w:rsid w:val="00846555"/>
    <w:rsid w:val="008474E0"/>
    <w:rsid w:val="00851427"/>
    <w:rsid w:val="0085464D"/>
    <w:rsid w:val="008554F1"/>
    <w:rsid w:val="0086264B"/>
    <w:rsid w:val="00871155"/>
    <w:rsid w:val="00871221"/>
    <w:rsid w:val="0087123B"/>
    <w:rsid w:val="008771F0"/>
    <w:rsid w:val="00880136"/>
    <w:rsid w:val="008847E9"/>
    <w:rsid w:val="00886119"/>
    <w:rsid w:val="00886CD8"/>
    <w:rsid w:val="0089041B"/>
    <w:rsid w:val="008905C2"/>
    <w:rsid w:val="00890AF8"/>
    <w:rsid w:val="00893641"/>
    <w:rsid w:val="00894B3B"/>
    <w:rsid w:val="00896B36"/>
    <w:rsid w:val="008A1614"/>
    <w:rsid w:val="008A5038"/>
    <w:rsid w:val="008A6438"/>
    <w:rsid w:val="008B1B16"/>
    <w:rsid w:val="008B6737"/>
    <w:rsid w:val="008B798E"/>
    <w:rsid w:val="008B7AF5"/>
    <w:rsid w:val="008C4598"/>
    <w:rsid w:val="008D0183"/>
    <w:rsid w:val="008D13CF"/>
    <w:rsid w:val="008D1965"/>
    <w:rsid w:val="008D728B"/>
    <w:rsid w:val="008F23AB"/>
    <w:rsid w:val="008F6D31"/>
    <w:rsid w:val="0090098A"/>
    <w:rsid w:val="00901313"/>
    <w:rsid w:val="009027FD"/>
    <w:rsid w:val="00902EB6"/>
    <w:rsid w:val="00914514"/>
    <w:rsid w:val="009156F5"/>
    <w:rsid w:val="00920D1F"/>
    <w:rsid w:val="009267A0"/>
    <w:rsid w:val="00926B6D"/>
    <w:rsid w:val="00933204"/>
    <w:rsid w:val="009359C1"/>
    <w:rsid w:val="00936F48"/>
    <w:rsid w:val="00946AF2"/>
    <w:rsid w:val="0095173C"/>
    <w:rsid w:val="009525AA"/>
    <w:rsid w:val="00954136"/>
    <w:rsid w:val="00954D69"/>
    <w:rsid w:val="00957B67"/>
    <w:rsid w:val="0096257E"/>
    <w:rsid w:val="00966FDE"/>
    <w:rsid w:val="0096701A"/>
    <w:rsid w:val="00967130"/>
    <w:rsid w:val="00972429"/>
    <w:rsid w:val="0097621A"/>
    <w:rsid w:val="0098248E"/>
    <w:rsid w:val="00984A63"/>
    <w:rsid w:val="00990370"/>
    <w:rsid w:val="00993324"/>
    <w:rsid w:val="00993BBB"/>
    <w:rsid w:val="009947DD"/>
    <w:rsid w:val="009A2A9A"/>
    <w:rsid w:val="009A6B56"/>
    <w:rsid w:val="009B0976"/>
    <w:rsid w:val="009B7E3E"/>
    <w:rsid w:val="009C29E9"/>
    <w:rsid w:val="009C5BEA"/>
    <w:rsid w:val="009D0FA3"/>
    <w:rsid w:val="009E100D"/>
    <w:rsid w:val="009E7571"/>
    <w:rsid w:val="009E7E10"/>
    <w:rsid w:val="009F0943"/>
    <w:rsid w:val="009F0E68"/>
    <w:rsid w:val="009F5971"/>
    <w:rsid w:val="009F6DD2"/>
    <w:rsid w:val="009F770A"/>
    <w:rsid w:val="00A00E21"/>
    <w:rsid w:val="00A03803"/>
    <w:rsid w:val="00A0452A"/>
    <w:rsid w:val="00A0501B"/>
    <w:rsid w:val="00A114B9"/>
    <w:rsid w:val="00A12219"/>
    <w:rsid w:val="00A142F9"/>
    <w:rsid w:val="00A143BD"/>
    <w:rsid w:val="00A146E5"/>
    <w:rsid w:val="00A15B38"/>
    <w:rsid w:val="00A164DF"/>
    <w:rsid w:val="00A16FE2"/>
    <w:rsid w:val="00A20F0F"/>
    <w:rsid w:val="00A23439"/>
    <w:rsid w:val="00A23759"/>
    <w:rsid w:val="00A255C2"/>
    <w:rsid w:val="00A2626D"/>
    <w:rsid w:val="00A306AD"/>
    <w:rsid w:val="00A30D6B"/>
    <w:rsid w:val="00A31FBF"/>
    <w:rsid w:val="00A32807"/>
    <w:rsid w:val="00A3783A"/>
    <w:rsid w:val="00A40B43"/>
    <w:rsid w:val="00A4106E"/>
    <w:rsid w:val="00A45956"/>
    <w:rsid w:val="00A46AD4"/>
    <w:rsid w:val="00A51E81"/>
    <w:rsid w:val="00A63490"/>
    <w:rsid w:val="00A718AF"/>
    <w:rsid w:val="00A776F3"/>
    <w:rsid w:val="00A7788A"/>
    <w:rsid w:val="00A80413"/>
    <w:rsid w:val="00A82CEB"/>
    <w:rsid w:val="00A84EA0"/>
    <w:rsid w:val="00A86ED7"/>
    <w:rsid w:val="00A8710D"/>
    <w:rsid w:val="00A97ED5"/>
    <w:rsid w:val="00AA12A2"/>
    <w:rsid w:val="00AA1B1A"/>
    <w:rsid w:val="00AA5076"/>
    <w:rsid w:val="00AA604A"/>
    <w:rsid w:val="00AB06A0"/>
    <w:rsid w:val="00AB2A32"/>
    <w:rsid w:val="00AB74FF"/>
    <w:rsid w:val="00AC36B2"/>
    <w:rsid w:val="00AC4534"/>
    <w:rsid w:val="00AD30A6"/>
    <w:rsid w:val="00AD44F2"/>
    <w:rsid w:val="00AE3E52"/>
    <w:rsid w:val="00AF5ABD"/>
    <w:rsid w:val="00AF7D5E"/>
    <w:rsid w:val="00B0158D"/>
    <w:rsid w:val="00B01B61"/>
    <w:rsid w:val="00B06590"/>
    <w:rsid w:val="00B06A94"/>
    <w:rsid w:val="00B109A4"/>
    <w:rsid w:val="00B12826"/>
    <w:rsid w:val="00B13279"/>
    <w:rsid w:val="00B209B6"/>
    <w:rsid w:val="00B2230C"/>
    <w:rsid w:val="00B22D8E"/>
    <w:rsid w:val="00B25341"/>
    <w:rsid w:val="00B27435"/>
    <w:rsid w:val="00B27D34"/>
    <w:rsid w:val="00B322BE"/>
    <w:rsid w:val="00B33B16"/>
    <w:rsid w:val="00B36DDD"/>
    <w:rsid w:val="00B41E69"/>
    <w:rsid w:val="00B4771C"/>
    <w:rsid w:val="00B54757"/>
    <w:rsid w:val="00B57EEA"/>
    <w:rsid w:val="00B60C9B"/>
    <w:rsid w:val="00B61377"/>
    <w:rsid w:val="00B63D64"/>
    <w:rsid w:val="00B6541A"/>
    <w:rsid w:val="00B65F30"/>
    <w:rsid w:val="00B66B4C"/>
    <w:rsid w:val="00B66D73"/>
    <w:rsid w:val="00B725B7"/>
    <w:rsid w:val="00B75721"/>
    <w:rsid w:val="00B76EE9"/>
    <w:rsid w:val="00B80A16"/>
    <w:rsid w:val="00B90C12"/>
    <w:rsid w:val="00B97FD2"/>
    <w:rsid w:val="00BA4BD6"/>
    <w:rsid w:val="00BB10D6"/>
    <w:rsid w:val="00BB1AB8"/>
    <w:rsid w:val="00BB2F48"/>
    <w:rsid w:val="00BB3AA8"/>
    <w:rsid w:val="00BB422C"/>
    <w:rsid w:val="00BB4B14"/>
    <w:rsid w:val="00BC4053"/>
    <w:rsid w:val="00BD0FCE"/>
    <w:rsid w:val="00BE5EF8"/>
    <w:rsid w:val="00BF162F"/>
    <w:rsid w:val="00BF2003"/>
    <w:rsid w:val="00BF395A"/>
    <w:rsid w:val="00BF497A"/>
    <w:rsid w:val="00BF4E83"/>
    <w:rsid w:val="00BF5000"/>
    <w:rsid w:val="00BF6757"/>
    <w:rsid w:val="00C020BF"/>
    <w:rsid w:val="00C05DD7"/>
    <w:rsid w:val="00C06E62"/>
    <w:rsid w:val="00C07177"/>
    <w:rsid w:val="00C12FF1"/>
    <w:rsid w:val="00C154BD"/>
    <w:rsid w:val="00C2028F"/>
    <w:rsid w:val="00C21430"/>
    <w:rsid w:val="00C21DFD"/>
    <w:rsid w:val="00C228B2"/>
    <w:rsid w:val="00C24CF7"/>
    <w:rsid w:val="00C24F39"/>
    <w:rsid w:val="00C26CDB"/>
    <w:rsid w:val="00C32935"/>
    <w:rsid w:val="00C40F70"/>
    <w:rsid w:val="00C41262"/>
    <w:rsid w:val="00C4234D"/>
    <w:rsid w:val="00C4547C"/>
    <w:rsid w:val="00C46DC3"/>
    <w:rsid w:val="00C57AA3"/>
    <w:rsid w:val="00C608C5"/>
    <w:rsid w:val="00C630F2"/>
    <w:rsid w:val="00C63407"/>
    <w:rsid w:val="00C65774"/>
    <w:rsid w:val="00C7300B"/>
    <w:rsid w:val="00C73477"/>
    <w:rsid w:val="00C74A02"/>
    <w:rsid w:val="00C84C7C"/>
    <w:rsid w:val="00C85DEB"/>
    <w:rsid w:val="00C87DCE"/>
    <w:rsid w:val="00C908EB"/>
    <w:rsid w:val="00CA057A"/>
    <w:rsid w:val="00CA5E9B"/>
    <w:rsid w:val="00CA709B"/>
    <w:rsid w:val="00CA7730"/>
    <w:rsid w:val="00CC21F0"/>
    <w:rsid w:val="00CC245A"/>
    <w:rsid w:val="00CC5493"/>
    <w:rsid w:val="00CC6A7F"/>
    <w:rsid w:val="00CC7F51"/>
    <w:rsid w:val="00CD58CD"/>
    <w:rsid w:val="00CD7BE9"/>
    <w:rsid w:val="00CE30DA"/>
    <w:rsid w:val="00CE387A"/>
    <w:rsid w:val="00CE4E0F"/>
    <w:rsid w:val="00CE5AB2"/>
    <w:rsid w:val="00D03A3E"/>
    <w:rsid w:val="00D04209"/>
    <w:rsid w:val="00D15E99"/>
    <w:rsid w:val="00D209BD"/>
    <w:rsid w:val="00D238AB"/>
    <w:rsid w:val="00D2407B"/>
    <w:rsid w:val="00D26E8B"/>
    <w:rsid w:val="00D27CA8"/>
    <w:rsid w:val="00D27D47"/>
    <w:rsid w:val="00D338CA"/>
    <w:rsid w:val="00D40079"/>
    <w:rsid w:val="00D444C1"/>
    <w:rsid w:val="00D44957"/>
    <w:rsid w:val="00D45196"/>
    <w:rsid w:val="00D462AD"/>
    <w:rsid w:val="00D50785"/>
    <w:rsid w:val="00D509C0"/>
    <w:rsid w:val="00D55397"/>
    <w:rsid w:val="00D56008"/>
    <w:rsid w:val="00D57242"/>
    <w:rsid w:val="00D604D6"/>
    <w:rsid w:val="00D62F95"/>
    <w:rsid w:val="00D74BF9"/>
    <w:rsid w:val="00D7587F"/>
    <w:rsid w:val="00D804F9"/>
    <w:rsid w:val="00D80BD1"/>
    <w:rsid w:val="00D832B6"/>
    <w:rsid w:val="00D85438"/>
    <w:rsid w:val="00D87B3A"/>
    <w:rsid w:val="00DA3572"/>
    <w:rsid w:val="00DA7652"/>
    <w:rsid w:val="00DB1548"/>
    <w:rsid w:val="00DB1BF9"/>
    <w:rsid w:val="00DB401E"/>
    <w:rsid w:val="00DB6B26"/>
    <w:rsid w:val="00DB7D8F"/>
    <w:rsid w:val="00DC0758"/>
    <w:rsid w:val="00DC1CF5"/>
    <w:rsid w:val="00DC3287"/>
    <w:rsid w:val="00DC34B9"/>
    <w:rsid w:val="00DE7F85"/>
    <w:rsid w:val="00DF2129"/>
    <w:rsid w:val="00DF44BB"/>
    <w:rsid w:val="00DF492C"/>
    <w:rsid w:val="00E00FF1"/>
    <w:rsid w:val="00E016BE"/>
    <w:rsid w:val="00E10699"/>
    <w:rsid w:val="00E10C95"/>
    <w:rsid w:val="00E11A82"/>
    <w:rsid w:val="00E16C1C"/>
    <w:rsid w:val="00E21BEF"/>
    <w:rsid w:val="00E22425"/>
    <w:rsid w:val="00E22979"/>
    <w:rsid w:val="00E31182"/>
    <w:rsid w:val="00E333CE"/>
    <w:rsid w:val="00E35ADE"/>
    <w:rsid w:val="00E36FED"/>
    <w:rsid w:val="00E41B20"/>
    <w:rsid w:val="00E41D8B"/>
    <w:rsid w:val="00E47E64"/>
    <w:rsid w:val="00E50347"/>
    <w:rsid w:val="00E53917"/>
    <w:rsid w:val="00E60A02"/>
    <w:rsid w:val="00E61654"/>
    <w:rsid w:val="00E63DE9"/>
    <w:rsid w:val="00E66A8B"/>
    <w:rsid w:val="00E675AD"/>
    <w:rsid w:val="00E75660"/>
    <w:rsid w:val="00E767C3"/>
    <w:rsid w:val="00E80942"/>
    <w:rsid w:val="00E809AC"/>
    <w:rsid w:val="00E8269A"/>
    <w:rsid w:val="00E83E88"/>
    <w:rsid w:val="00E85EA9"/>
    <w:rsid w:val="00E9323C"/>
    <w:rsid w:val="00E93501"/>
    <w:rsid w:val="00E94EFD"/>
    <w:rsid w:val="00EA51FA"/>
    <w:rsid w:val="00EB66A3"/>
    <w:rsid w:val="00EB6792"/>
    <w:rsid w:val="00ED3874"/>
    <w:rsid w:val="00ED4BDF"/>
    <w:rsid w:val="00EE1F04"/>
    <w:rsid w:val="00EF0F26"/>
    <w:rsid w:val="00EF2BD1"/>
    <w:rsid w:val="00EF544A"/>
    <w:rsid w:val="00F07F59"/>
    <w:rsid w:val="00F237DD"/>
    <w:rsid w:val="00F2467A"/>
    <w:rsid w:val="00F33E96"/>
    <w:rsid w:val="00F36FBA"/>
    <w:rsid w:val="00F37FE2"/>
    <w:rsid w:val="00F4404F"/>
    <w:rsid w:val="00F50E04"/>
    <w:rsid w:val="00F51E8F"/>
    <w:rsid w:val="00F55962"/>
    <w:rsid w:val="00F57278"/>
    <w:rsid w:val="00F575D3"/>
    <w:rsid w:val="00F65AEA"/>
    <w:rsid w:val="00F7086F"/>
    <w:rsid w:val="00F75AF8"/>
    <w:rsid w:val="00F779A6"/>
    <w:rsid w:val="00F8221D"/>
    <w:rsid w:val="00F84938"/>
    <w:rsid w:val="00F856E7"/>
    <w:rsid w:val="00F9267F"/>
    <w:rsid w:val="00F93B74"/>
    <w:rsid w:val="00F95CE3"/>
    <w:rsid w:val="00F95FFC"/>
    <w:rsid w:val="00FA055D"/>
    <w:rsid w:val="00FA2D5F"/>
    <w:rsid w:val="00FA4709"/>
    <w:rsid w:val="00FA6730"/>
    <w:rsid w:val="00FB113A"/>
    <w:rsid w:val="00FB3066"/>
    <w:rsid w:val="00FB4D16"/>
    <w:rsid w:val="00FB5581"/>
    <w:rsid w:val="00FB7A74"/>
    <w:rsid w:val="00FC0B39"/>
    <w:rsid w:val="00FC0D87"/>
    <w:rsid w:val="00FC4BFF"/>
    <w:rsid w:val="00FD5BA2"/>
    <w:rsid w:val="00FD6968"/>
    <w:rsid w:val="00FE679B"/>
    <w:rsid w:val="00FE76E8"/>
    <w:rsid w:val="00FF2540"/>
    <w:rsid w:val="00FF3A17"/>
    <w:rsid w:val="00FF408A"/>
    <w:rsid w:val="00FF4926"/>
    <w:rsid w:val="00FF72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50609DE"/>
  <w15:docId w15:val="{C9DC7CEC-1FB7-4E66-B2B9-F0B0F92B1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Sans Medium" w:eastAsiaTheme="minorHAnsi" w:hAnsi="IBM Plex Sans Medium" w:cs="Arial"/>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55D"/>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31CC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31CCE"/>
  </w:style>
  <w:style w:type="paragraph" w:styleId="AltBilgi">
    <w:name w:val="footer"/>
    <w:basedOn w:val="Normal"/>
    <w:link w:val="AltBilgiChar"/>
    <w:uiPriority w:val="99"/>
    <w:unhideWhenUsed/>
    <w:rsid w:val="00831CC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31CCE"/>
  </w:style>
  <w:style w:type="paragraph" w:styleId="NormalWeb">
    <w:name w:val="Normal (Web)"/>
    <w:basedOn w:val="Normal"/>
    <w:uiPriority w:val="99"/>
    <w:unhideWhenUsed/>
    <w:rsid w:val="00886119"/>
    <w:pPr>
      <w:spacing w:before="100" w:beforeAutospacing="1" w:after="100" w:afterAutospacing="1" w:line="240" w:lineRule="auto"/>
    </w:pPr>
    <w:rPr>
      <w:rFonts w:ascii="Times New Roman" w:hAnsi="Times New Roman" w:cs="Times New Roman"/>
      <w:sz w:val="24"/>
      <w:szCs w:val="24"/>
      <w:lang w:val="en-US"/>
    </w:rPr>
  </w:style>
  <w:style w:type="table" w:styleId="TabloKlavuzu">
    <w:name w:val="Table Grid"/>
    <w:basedOn w:val="NormalTablo"/>
    <w:uiPriority w:val="39"/>
    <w:rsid w:val="00163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yaz">
    <w:name w:val="Subtitle"/>
    <w:basedOn w:val="Normal"/>
    <w:next w:val="Normal"/>
    <w:link w:val="AltyazChar"/>
    <w:uiPriority w:val="11"/>
    <w:qFormat/>
    <w:rsid w:val="000F0FDB"/>
    <w:pPr>
      <w:numPr>
        <w:ilvl w:val="1"/>
      </w:numPr>
      <w:spacing w:after="160"/>
    </w:pPr>
    <w:rPr>
      <w:rFonts w:eastAsiaTheme="minorEastAsia"/>
      <w:color w:val="6C6C6C" w:themeColor="text1" w:themeTint="A5"/>
      <w:spacing w:val="15"/>
    </w:rPr>
  </w:style>
  <w:style w:type="character" w:customStyle="1" w:styleId="AltyazChar">
    <w:name w:val="Altyazı Char"/>
    <w:basedOn w:val="VarsaylanParagrafYazTipi"/>
    <w:link w:val="Altyaz"/>
    <w:uiPriority w:val="11"/>
    <w:rsid w:val="000F0FDB"/>
    <w:rPr>
      <w:rFonts w:eastAsiaTheme="minorEastAsia"/>
      <w:color w:val="6C6C6C" w:themeColor="text1" w:themeTint="A5"/>
      <w:spacing w:val="15"/>
    </w:rPr>
  </w:style>
  <w:style w:type="table" w:customStyle="1" w:styleId="TabloKlavuzu1">
    <w:name w:val="Tablo Kılavuzu1"/>
    <w:basedOn w:val="NormalTablo"/>
    <w:next w:val="TabloKlavuzu"/>
    <w:uiPriority w:val="59"/>
    <w:rsid w:val="001659D0"/>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afifBavuru">
    <w:name w:val="Subtle Reference"/>
    <w:basedOn w:val="VarsaylanParagrafYazTipi"/>
    <w:uiPriority w:val="31"/>
    <w:qFormat/>
    <w:rsid w:val="001659D0"/>
    <w:rPr>
      <w:smallCaps/>
      <w:color w:val="6C6C6C" w:themeColor="text1" w:themeTint="A5"/>
    </w:rPr>
  </w:style>
  <w:style w:type="paragraph" w:styleId="KonuBal">
    <w:name w:val="Title"/>
    <w:basedOn w:val="Normal"/>
    <w:next w:val="Normal"/>
    <w:link w:val="KonuBalChar"/>
    <w:uiPriority w:val="10"/>
    <w:qFormat/>
    <w:rsid w:val="00F33E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33E96"/>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2352EC"/>
    <w:pPr>
      <w:ind w:left="720"/>
      <w:contextualSpacing/>
    </w:pPr>
  </w:style>
  <w:style w:type="character" w:styleId="AklamaBavurusu">
    <w:name w:val="annotation reference"/>
    <w:basedOn w:val="VarsaylanParagrafYazTipi"/>
    <w:uiPriority w:val="99"/>
    <w:semiHidden/>
    <w:unhideWhenUsed/>
    <w:rsid w:val="00DB1548"/>
    <w:rPr>
      <w:sz w:val="16"/>
      <w:szCs w:val="16"/>
    </w:rPr>
  </w:style>
  <w:style w:type="paragraph" w:styleId="AklamaMetni">
    <w:name w:val="annotation text"/>
    <w:basedOn w:val="Normal"/>
    <w:link w:val="AklamaMetniChar"/>
    <w:uiPriority w:val="99"/>
    <w:semiHidden/>
    <w:unhideWhenUsed/>
    <w:rsid w:val="00DB1548"/>
    <w:pPr>
      <w:spacing w:line="240" w:lineRule="auto"/>
    </w:pPr>
  </w:style>
  <w:style w:type="character" w:customStyle="1" w:styleId="AklamaMetniChar">
    <w:name w:val="Açıklama Metni Char"/>
    <w:basedOn w:val="VarsaylanParagrafYazTipi"/>
    <w:link w:val="AklamaMetni"/>
    <w:uiPriority w:val="99"/>
    <w:semiHidden/>
    <w:rsid w:val="00DB1548"/>
  </w:style>
  <w:style w:type="paragraph" w:styleId="AklamaKonusu">
    <w:name w:val="annotation subject"/>
    <w:basedOn w:val="AklamaMetni"/>
    <w:next w:val="AklamaMetni"/>
    <w:link w:val="AklamaKonusuChar"/>
    <w:uiPriority w:val="99"/>
    <w:semiHidden/>
    <w:unhideWhenUsed/>
    <w:rsid w:val="00DB1548"/>
    <w:rPr>
      <w:b/>
    </w:rPr>
  </w:style>
  <w:style w:type="character" w:customStyle="1" w:styleId="AklamaKonusuChar">
    <w:name w:val="Açıklama Konusu Char"/>
    <w:basedOn w:val="AklamaMetniChar"/>
    <w:link w:val="AklamaKonusu"/>
    <w:uiPriority w:val="99"/>
    <w:semiHidden/>
    <w:rsid w:val="00DB1548"/>
    <w:rPr>
      <w:b/>
    </w:rPr>
  </w:style>
  <w:style w:type="paragraph" w:customStyle="1" w:styleId="Default">
    <w:name w:val="Default"/>
    <w:rsid w:val="000023DA"/>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58175">
      <w:bodyDiv w:val="1"/>
      <w:marLeft w:val="0"/>
      <w:marRight w:val="0"/>
      <w:marTop w:val="0"/>
      <w:marBottom w:val="0"/>
      <w:divBdr>
        <w:top w:val="none" w:sz="0" w:space="0" w:color="auto"/>
        <w:left w:val="none" w:sz="0" w:space="0" w:color="auto"/>
        <w:bottom w:val="none" w:sz="0" w:space="0" w:color="auto"/>
        <w:right w:val="none" w:sz="0" w:space="0" w:color="auto"/>
      </w:divBdr>
    </w:div>
    <w:div w:id="1093478820">
      <w:bodyDiv w:val="1"/>
      <w:marLeft w:val="0"/>
      <w:marRight w:val="0"/>
      <w:marTop w:val="0"/>
      <w:marBottom w:val="0"/>
      <w:divBdr>
        <w:top w:val="none" w:sz="0" w:space="0" w:color="auto"/>
        <w:left w:val="none" w:sz="0" w:space="0" w:color="auto"/>
        <w:bottom w:val="none" w:sz="0" w:space="0" w:color="auto"/>
        <w:right w:val="none" w:sz="0" w:space="0" w:color="auto"/>
      </w:divBdr>
    </w:div>
    <w:div w:id="1293049833">
      <w:bodyDiv w:val="1"/>
      <w:marLeft w:val="0"/>
      <w:marRight w:val="0"/>
      <w:marTop w:val="0"/>
      <w:marBottom w:val="0"/>
      <w:divBdr>
        <w:top w:val="none" w:sz="0" w:space="0" w:color="auto"/>
        <w:left w:val="none" w:sz="0" w:space="0" w:color="auto"/>
        <w:bottom w:val="none" w:sz="0" w:space="0" w:color="auto"/>
        <w:right w:val="none" w:sz="0" w:space="0" w:color="auto"/>
      </w:divBdr>
    </w:div>
    <w:div w:id="1294403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wmf"/><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wmf"/><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1">
  <a:themeElements>
    <a:clrScheme name="Custom 4">
      <a:dk1>
        <a:srgbClr val="1C1C1C"/>
      </a:dk1>
      <a:lt1>
        <a:srgbClr val="FFFFFF"/>
      </a:lt1>
      <a:dk2>
        <a:srgbClr val="E7E6E6"/>
      </a:dk2>
      <a:lt2>
        <a:srgbClr val="171616"/>
      </a:lt2>
      <a:accent1>
        <a:srgbClr val="0435F9"/>
      </a:accent1>
      <a:accent2>
        <a:srgbClr val="011979"/>
      </a:accent2>
      <a:accent3>
        <a:srgbClr val="4C6FFB"/>
      </a:accent3>
      <a:accent4>
        <a:srgbClr val="28377A"/>
      </a:accent4>
      <a:accent5>
        <a:srgbClr val="28377A"/>
      </a:accent5>
      <a:accent6>
        <a:srgbClr val="011C48"/>
      </a:accent6>
      <a:hlink>
        <a:srgbClr val="323332"/>
      </a:hlink>
      <a:folHlink>
        <a:srgbClr val="DBDCDB"/>
      </a:folHlink>
    </a:clrScheme>
    <a:fontScheme name="IBM">
      <a:majorFont>
        <a:latin typeface="IBM Plex Sans"/>
        <a:ea typeface=""/>
        <a:cs typeface=""/>
      </a:majorFont>
      <a:minorFont>
        <a:latin typeface="IBM Plex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ema1" id="{23B21322-8C6F-4D71-BF0D-9F201E6CBDD7}" vid="{039CCA3A-4460-42AD-A5B4-F28E3D42F7F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RightsWATCHMark">1|GEDIKY-GENEL-Genel|{00000000-0000-0000-0000-000000000000}</XMLData>
</file>

<file path=customXml/item2.xml><?xml version="1.0" encoding="utf-8"?>
<XMLData TextToDisplay="%EMAILADDRESS%">egurcan@gedik.com</XMLData>
</file>

<file path=customXml/item3.xml><?xml version="1.0" encoding="utf-8"?>
<XMLData TextToDisplay="%HOSTNAME%">erol_gurcan.ad.gedik.com</XMLData>
</file>

<file path=customXml/item4.xml><?xml version="1.0" encoding="utf-8"?>
<XMLData TextToDisplay="%DOCUMENTGUID%">{00000000-0000-0000-0000-000000000000}</XMLData>
</file>

<file path=customXml/item5.xml><?xml version="1.0" encoding="utf-8"?>
<XMLData TextToDisplay="%USERNAME%">egurcan</XMLData>
</file>

<file path=customXml/item6.xml><?xml version="1.0" encoding="utf-8"?>
<XMLData TextToDisplay="%CLASSIFICATIONDATETIME%">12:30 10/02/2020</XMLData>
</file>

<file path=customXml/item7.xml><?xml version="1.0" encoding="utf-8"?>
<sisl xmlns:xsd="http://www.w3.org/2001/XMLSchema" xmlns:xsi="http://www.w3.org/2001/XMLSchema-instance" xmlns="http://www.boldonjames.com/2008/01/sie/internal/label" sislVersion="0" policy="007ffc95-0d5a-4794-8918-e48017076cac" origin="userSelected">
  <element uid="id_classification_nonbusiness" value=""/>
</sisl>
</file>

<file path=customXml/itemProps1.xml><?xml version="1.0" encoding="utf-8"?>
<ds:datastoreItem xmlns:ds="http://schemas.openxmlformats.org/officeDocument/2006/customXml" ds:itemID="{4BFD4350-6BC4-4989-947F-B66CCFAC62EF}">
  <ds:schemaRefs/>
</ds:datastoreItem>
</file>

<file path=customXml/itemProps2.xml><?xml version="1.0" encoding="utf-8"?>
<ds:datastoreItem xmlns:ds="http://schemas.openxmlformats.org/officeDocument/2006/customXml" ds:itemID="{82218321-EF49-48CB-A9EE-4F99CF1268B7}">
  <ds:schemaRefs/>
</ds:datastoreItem>
</file>

<file path=customXml/itemProps3.xml><?xml version="1.0" encoding="utf-8"?>
<ds:datastoreItem xmlns:ds="http://schemas.openxmlformats.org/officeDocument/2006/customXml" ds:itemID="{C150CD7F-1920-4597-B7B8-D54301C88AE6}">
  <ds:schemaRefs/>
</ds:datastoreItem>
</file>

<file path=customXml/itemProps4.xml><?xml version="1.0" encoding="utf-8"?>
<ds:datastoreItem xmlns:ds="http://schemas.openxmlformats.org/officeDocument/2006/customXml" ds:itemID="{F05E20DD-5FA0-42F9-9125-F4A339E8BD2C}">
  <ds:schemaRefs/>
</ds:datastoreItem>
</file>

<file path=customXml/itemProps5.xml><?xml version="1.0" encoding="utf-8"?>
<ds:datastoreItem xmlns:ds="http://schemas.openxmlformats.org/officeDocument/2006/customXml" ds:itemID="{354EE5B3-EFA0-493F-BBCD-6EC28978E735}">
  <ds:schemaRefs/>
</ds:datastoreItem>
</file>

<file path=customXml/itemProps6.xml><?xml version="1.0" encoding="utf-8"?>
<ds:datastoreItem xmlns:ds="http://schemas.openxmlformats.org/officeDocument/2006/customXml" ds:itemID="{5BB087D8-F2E3-42C1-A69B-B24C0CC683F5}">
  <ds:schemaRefs/>
</ds:datastoreItem>
</file>

<file path=customXml/itemProps7.xml><?xml version="1.0" encoding="utf-8"?>
<ds:datastoreItem xmlns:ds="http://schemas.openxmlformats.org/officeDocument/2006/customXml" ds:itemID="{3E80C45C-24B1-4E08-998F-ABF893473395}">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3</Pages>
  <Words>162</Words>
  <Characters>1381</Characters>
  <Application>Microsoft Office Word</Application>
  <DocSecurity>0</DocSecurity>
  <Lines>11</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Gonencler</dc:creator>
  <cp:keywords/>
  <dc:description/>
  <cp:lastModifiedBy>Bora Kaya</cp:lastModifiedBy>
  <cp:revision>29</cp:revision>
  <cp:lastPrinted>2025-10-09T10:40:00Z</cp:lastPrinted>
  <dcterms:created xsi:type="dcterms:W3CDTF">2025-04-11T05:30:00Z</dcterms:created>
  <dcterms:modified xsi:type="dcterms:W3CDTF">2025-10-28T09:19:00Z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1|GEDIKY-GENEL-Genel|{00000000-0000-0000-0000-000000000000}</vt:lpwstr>
  </property>
  <property fmtid="{D5CDD505-2E9C-101B-9397-08002B2CF9AE}" pid="3" name="docIndexRef">
    <vt:lpwstr>347ecaa2-9106-4cf0-9630-b66d29823f3f</vt:lpwstr>
  </property>
  <property fmtid="{D5CDD505-2E9C-101B-9397-08002B2CF9AE}" pid="4" name="bjSaver">
    <vt:lpwstr>agztu629LxkgXn/WnGTW1GhNKtWqLTqc</vt:lpwstr>
  </property>
  <property fmtid="{D5CDD505-2E9C-101B-9397-08002B2CF9AE}" pid="5" name="bjDocumentLabelXML">
    <vt:lpwstr>&lt;?xml version="1.0" encoding="us-ascii"?&gt;&lt;sisl xmlns:xsd="http://www.w3.org/2001/XMLSchema" xmlns:xsi="http://www.w3.org/2001/XMLSchema-instance" sislVersion="0" policy="007ffc95-0d5a-4794-8918-e48017076cac" origin="userSelected" xmlns="http://www.boldonj</vt:lpwstr>
  </property>
  <property fmtid="{D5CDD505-2E9C-101B-9397-08002B2CF9AE}" pid="6" name="bjDocumentLabelXML-0">
    <vt:lpwstr>ames.com/2008/01/sie/internal/label"&gt;&lt;element uid="id_classification_nonbusiness" value="" /&gt;&lt;/sisl&gt;</vt:lpwstr>
  </property>
  <property fmtid="{D5CDD505-2E9C-101B-9397-08002B2CF9AE}" pid="7" name="bjDocumentSecurityLabel">
    <vt:lpwstr>Genel</vt:lpwstr>
  </property>
  <property fmtid="{D5CDD505-2E9C-101B-9397-08002B2CF9AE}" pid="8" name="bjClsUserRVM">
    <vt:lpwstr>[]</vt:lpwstr>
  </property>
  <property fmtid="{D5CDD505-2E9C-101B-9397-08002B2CF9AE}" pid="9" name="GrammarlyDocumentId">
    <vt:lpwstr>a0f46782bde4187632e9a8d4379154b0c2b6158a012442fdc3fbbe1383a2bec7</vt:lpwstr>
  </property>
</Properties>
</file>