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6E5B"/>
          <w:sz w:val="40"/>
          <w:szCs w:val="40"/>
        </w:rPr>
        <w:t xml:space="preserve">Risk Operating System</w:t>
      </w:r>
    </w:p>
    <w:p>
      <w:pPr>
        <w:spacing w:after="200"/>
      </w:pPr>
      <w:r>
        <w:rPr>
          <w:rFonts w:ascii="Calibri" w:cs="Calibri" w:eastAsia="Calibri" w:hAnsi="Calibri"/>
          <w:color w:val="595959"/>
          <w:sz w:val="22"/>
          <w:szCs w:val="22"/>
        </w:rPr>
        <w:t xml:space="preserve">Internal demo script  |  approx. 7 minutes  |  For presenter use only</w:t>
      </w:r>
    </w:p>
    <w:p>
      <w:pPr>
        <w:pBdr>
          <w:bottom w:val="single" w:color="0B6E5B" w:sz="6" w:space="2"/>
        </w:pBdr>
        <w:spacing w:after="100" w:before="240"/>
      </w:pPr>
      <w:r>
        <w:rPr>
          <w:rFonts w:ascii="Calibri" w:cs="Calibri" w:eastAsia="Calibri" w:hAnsi="Calibri"/>
          <w:b/>
          <w:bCs/>
          <w:color w:val="0B6E5B"/>
          <w:sz w:val="26"/>
          <w:szCs w:val="26"/>
        </w:rPr>
        <w:t xml:space="preserve">Before you start</w:t>
      </w:r>
    </w:p>
    <w:p>
      <w:pPr>
        <w:pStyle w:val="ListParagraph"/>
        <w:numPr>
          <w:ilvl w:val="0"/>
          <w:numId w:val="2"/>
        </w:numPr>
        <w:spacing w:after="60"/>
      </w:pPr>
      <w:r>
        <w:rPr>
          <w:rFonts w:ascii="Calibri" w:cs="Calibri" w:eastAsia="Calibri" w:hAnsi="Calibri"/>
          <w:b/>
          <w:bCs/>
          <w:sz w:val="21"/>
          <w:szCs w:val="21"/>
        </w:rPr>
        <w:t xml:space="preserve">Run with the client name hidden </w:t>
      </w:r>
      <w:r>
        <w:rPr>
          <w:rFonts w:ascii="Calibri" w:cs="Calibri" w:eastAsia="Calibri" w:hAnsi="Calibri"/>
          <w:b w:val="false"/>
          <w:bCs w:val="false"/>
          <w:sz w:val="21"/>
          <w:szCs w:val="21"/>
        </w:rPr>
        <w:t xml:space="preserve">(shows as "ABC Holdings"). Log in as Group CRO.</w:t>
      </w:r>
    </w:p>
    <w:p>
      <w:pPr>
        <w:pStyle w:val="ListParagraph"/>
        <w:numPr>
          <w:ilvl w:val="0"/>
          <w:numId w:val="2"/>
        </w:numPr>
        <w:spacing w:after="60"/>
      </w:pPr>
      <w:r>
        <w:rPr>
          <w:rFonts w:ascii="Calibri" w:cs="Calibri" w:eastAsia="Calibri" w:hAnsi="Calibri"/>
          <w:b/>
          <w:bCs/>
          <w:sz w:val="21"/>
          <w:szCs w:val="21"/>
        </w:rPr>
        <w:t xml:space="preserve">Hero risk: </w:t>
      </w:r>
      <w:r>
        <w:rPr>
          <w:rFonts w:ascii="Calibri" w:cs="Calibri" w:eastAsia="Calibri" w:hAnsi="Calibri"/>
          <w:b w:val="false"/>
          <w:bCs w:val="false"/>
          <w:sz w:val="21"/>
          <w:szCs w:val="21"/>
        </w:rPr>
        <w:t xml:space="preserve">Construction Cost Overrun, the top Critical risk in the tool's own register.</w:t>
      </w:r>
    </w:p>
    <w:p>
      <w:pPr>
        <w:pStyle w:val="ListParagraph"/>
        <w:numPr>
          <w:ilvl w:val="0"/>
          <w:numId w:val="2"/>
        </w:numPr>
        <w:spacing w:after="60"/>
      </w:pPr>
      <w:r>
        <w:rPr>
          <w:rFonts w:ascii="Calibri" w:cs="Calibri" w:eastAsia="Calibri" w:hAnsi="Calibri"/>
          <w:b/>
          <w:bCs/>
          <w:sz w:val="21"/>
          <w:szCs w:val="21"/>
        </w:rPr>
        <w:t xml:space="preserve">All AED figures are illustrative demo data. </w:t>
      </w:r>
      <w:r>
        <w:rPr>
          <w:rFonts w:ascii="Calibri" w:cs="Calibri" w:eastAsia="Calibri" w:hAnsi="Calibri"/>
          <w:b w:val="false"/>
          <w:bCs w:val="false"/>
          <w:sz w:val="21"/>
          <w:szCs w:val="21"/>
        </w:rPr>
        <w:t xml:space="preserve">Say so once, early.</w:t>
      </w:r>
    </w:p>
    <w:p>
      <w:pPr>
        <w:pStyle w:val="ListParagraph"/>
        <w:numPr>
          <w:ilvl w:val="0"/>
          <w:numId w:val="2"/>
        </w:numPr>
        <w:spacing w:after="60"/>
      </w:pPr>
      <w:r>
        <w:rPr>
          <w:rFonts w:ascii="Calibri" w:cs="Calibri" w:eastAsia="Calibri" w:hAnsi="Calibri"/>
          <w:b/>
          <w:bCs/>
          <w:sz w:val="21"/>
          <w:szCs w:val="21"/>
        </w:rPr>
        <w:t xml:space="preserve">Client-name toggle: </w:t>
      </w:r>
      <w:r>
        <w:rPr>
          <w:rFonts w:ascii="Calibri" w:cs="Calibri" w:eastAsia="Calibri" w:hAnsi="Calibri"/>
          <w:b w:val="false"/>
          <w:bCs w:val="false"/>
          <w:sz w:val="21"/>
          <w:szCs w:val="21"/>
        </w:rPr>
        <w:t xml:space="preserve">keep "ABC Holdings" for any outside audience or recorded session. Switch to the real name only in a private session with the client.</w:t>
      </w:r>
    </w:p>
    <w:p>
      <w:pPr>
        <w:spacing w:after="80" w:before="200"/>
      </w:pPr>
      <w:r>
        <w:rPr>
          <w:rFonts w:ascii="Calibri" w:cs="Calibri" w:eastAsia="Calibri" w:hAnsi="Calibri"/>
          <w:b/>
          <w:bCs/>
          <w:color w:val="1F2937"/>
          <w:sz w:val="23"/>
          <w:szCs w:val="23"/>
        </w:rPr>
        <w:t xml:space="preserve">Honesty notes (what the tool does not do yet)</w:t>
      </w:r>
    </w:p>
    <w:p>
      <w:pPr>
        <w:pStyle w:val="ListParagraph"/>
        <w:numPr>
          <w:ilvl w:val="0"/>
          <w:numId w:val="2"/>
        </w:numPr>
        <w:spacing w:after="60"/>
      </w:pPr>
      <w:r>
        <w:rPr>
          <w:rFonts w:ascii="Calibri" w:cs="Calibri" w:eastAsia="Calibri" w:hAnsi="Calibri"/>
          <w:b w:val="false"/>
          <w:bCs w:val="false"/>
          <w:sz w:val="21"/>
          <w:szCs w:val="21"/>
        </w:rPr>
        <w:t xml:space="preserve">The signal feed has no search or filter. Point to the severity and portfolio tags instead.</w:t>
      </w:r>
    </w:p>
    <w:p>
      <w:pPr>
        <w:pStyle w:val="ListParagraph"/>
        <w:numPr>
          <w:ilvl w:val="0"/>
          <w:numId w:val="2"/>
        </w:numPr>
        <w:spacing w:after="60"/>
      </w:pPr>
      <w:r>
        <w:rPr>
          <w:rFonts w:ascii="Calibri" w:cs="Calibri" w:eastAsia="Calibri" w:hAnsi="Calibri"/>
          <w:b w:val="false"/>
          <w:bCs w:val="false"/>
          <w:sz w:val="21"/>
          <w:szCs w:val="21"/>
        </w:rPr>
        <w:t xml:space="preserve">The decision card has no Approve / Monitor / Escalate buttons. You assign or escalate on the card; formal approval happens on the Govern screen.</w:t>
      </w:r>
    </w:p>
    <w:p>
      <w:pPr>
        <w:pStyle w:val="ListParagraph"/>
        <w:numPr>
          <w:ilvl w:val="0"/>
          <w:numId w:val="2"/>
        </w:numPr>
        <w:spacing w:after="60"/>
      </w:pPr>
      <w:r>
        <w:rPr>
          <w:rFonts w:ascii="Calibri" w:cs="Calibri" w:eastAsia="Calibri" w:hAnsi="Calibri"/>
          <w:b w:val="false"/>
          <w:bCs w:val="false"/>
          <w:sz w:val="21"/>
          <w:szCs w:val="21"/>
        </w:rPr>
        <w:t xml:space="preserve">The brief is generated on demand, not sent automatically every week.</w:t>
      </w:r>
    </w:p>
    <w:p>
      <w:pPr>
        <w:pStyle w:val="ListParagraph"/>
        <w:numPr>
          <w:ilvl w:val="0"/>
          <w:numId w:val="2"/>
        </w:numPr>
        <w:spacing w:after="60"/>
      </w:pPr>
      <w:r>
        <w:rPr>
          <w:rFonts w:ascii="Calibri" w:cs="Calibri" w:eastAsia="Calibri" w:hAnsi="Calibri"/>
          <w:b w:val="false"/>
          <w:bCs w:val="false"/>
          <w:sz w:val="21"/>
          <w:szCs w:val="21"/>
        </w:rPr>
        <w:t xml:space="preserve">The feed shows live news when the news connection is on; otherwise sample items marked "Simulated".</w:t>
      </w:r>
    </w:p>
    <w:p>
      <w:pPr>
        <w:pBdr>
          <w:bottom w:val="single" w:color="0B6E5B" w:sz="6" w:space="2"/>
        </w:pBdr>
        <w:spacing w:after="100" w:before="240"/>
      </w:pPr>
      <w:r>
        <w:rPr>
          <w:rFonts w:ascii="Calibri" w:cs="Calibri" w:eastAsia="Calibri" w:hAnsi="Calibri"/>
          <w:b/>
          <w:bCs/>
          <w:color w:val="0B6E5B"/>
          <w:sz w:val="26"/>
          <w:szCs w:val="26"/>
        </w:rPr>
        <w:t xml:space="preserve">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900"/>
        <w:gridCol w:w="4626"/>
      </w:tblGrid>
      <w:tr>
        <w:trPr>
          <w:tblHeader/>
        </w:trPr>
        <w:tc>
          <w:tcPr>
            <w:tcW w:type="dxa" w:w="600"/>
            <w:tcBorders>
              <w:top w:val="single" w:color="BFBFBF" w:sz="4"/>
              <w:left w:val="single" w:color="BFBFBF" w:sz="4"/>
              <w:bottom w:val="single" w:color="BFBFBF" w:sz="4"/>
              <w:right w:val="single" w:color="BFBFBF" w:sz="4"/>
            </w:tcBorders>
            <w:shd w:fill="0B6E5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0B6E5B" w:color="auto" w:val="clear"/>
            <w:tcMar>
              <w:top w:type="dxa" w:w="60"/>
              <w:left w:type="dxa" w:w="100"/>
              <w:bottom w:type="dxa" w:w="60"/>
              <w:right w:type="dxa" w:w="100"/>
            </w:tcMar>
          </w:tcPr>
          <w:p>
            <w:r>
              <w:rPr>
                <w:rFonts w:ascii="Calibri" w:cs="Calibri" w:eastAsia="Calibri" w:hAnsi="Calibri"/>
                <w:b/>
                <w:bCs/>
                <w:color w:val="FFFFFF"/>
                <w:sz w:val="20"/>
                <w:szCs w:val="20"/>
              </w:rPr>
              <w:t xml:space="preserve">Section</w:t>
            </w:r>
          </w:p>
        </w:tc>
        <w:tc>
          <w:tcPr>
            <w:tcW w:type="dxa" w:w="900"/>
            <w:tcBorders>
              <w:top w:val="single" w:color="BFBFBF" w:sz="4"/>
              <w:left w:val="single" w:color="BFBFBF" w:sz="4"/>
              <w:bottom w:val="single" w:color="BFBFBF" w:sz="4"/>
              <w:right w:val="single" w:color="BFBFBF" w:sz="4"/>
            </w:tcBorders>
            <w:shd w:fill="0B6E5B" w:color="auto"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4626"/>
            <w:tcBorders>
              <w:top w:val="single" w:color="BFBFBF" w:sz="4"/>
              <w:left w:val="single" w:color="BFBFBF" w:sz="4"/>
              <w:bottom w:val="single" w:color="BFBFBF" w:sz="4"/>
              <w:right w:val="single" w:color="BFBFBF" w:sz="4"/>
            </w:tcBorders>
            <w:shd w:fill="0B6E5B" w:color="auto" w:val="clear"/>
            <w:tcMar>
              <w:top w:type="dxa" w:w="60"/>
              <w:left w:type="dxa" w:w="100"/>
              <w:bottom w:type="dxa" w:w="60"/>
              <w:right w:type="dxa" w:w="100"/>
            </w:tcMar>
          </w:tcPr>
          <w:p>
            <w:r>
              <w:rPr>
                <w:rFonts w:ascii="Calibri" w:cs="Calibri" w:eastAsia="Calibri" w:hAnsi="Calibri"/>
                <w:b/>
                <w:bCs/>
                <w:color w:val="FFFFFF"/>
                <w:sz w:val="20"/>
                <w:szCs w:val="20"/>
              </w:rPr>
              <w:t xml:space="preserve">Screen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problem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Posture (no clicks)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Executive 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Posture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feed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External triggers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Hero story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External triggers &gt; Priority Actions &gt; detail</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Signal to decision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Stress &amp; decide &gt; Govern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Briefing and register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AI Fusion Layer &gt; Executive Brief</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Close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Posture</w:t>
            </w:r>
          </w:p>
        </w:tc>
      </w:tr>
    </w:tbl>
    <w:p>
      <w:pPr>
        <w:pBdr>
          <w:bottom w:val="single" w:color="0B6E5B" w:sz="6" w:space="2"/>
        </w:pBdr>
        <w:spacing w:after="100" w:before="240"/>
      </w:pPr>
      <w:r>
        <w:rPr>
          <w:rFonts w:ascii="Calibri" w:cs="Calibri" w:eastAsia="Calibri" w:hAnsi="Calibri"/>
          <w:b/>
          <w:bCs/>
          <w:color w:val="0B6E5B"/>
          <w:sz w:val="26"/>
          <w:szCs w:val="26"/>
        </w:rPr>
        <w:t xml:space="preserve">Script</w:t>
      </w:r>
    </w:p>
    <w:p>
      <w:pPr>
        <w:spacing w:after="80" w:before="200"/>
      </w:pPr>
      <w:r>
        <w:rPr>
          <w:rFonts w:ascii="Calibri" w:cs="Calibri" w:eastAsia="Calibri" w:hAnsi="Calibri"/>
          <w:b/>
          <w:bCs/>
          <w:color w:val="1F2937"/>
          <w:sz w:val="23"/>
          <w:szCs w:val="23"/>
        </w:rPr>
        <w:t xml:space="preserve">1. The problem  (0.5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Posture, no clicks</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Leaders hear about external risk late. It is spread across news, regulators and reports. And no one tells them what it means for their own portfolio. This tool turns that outside noise into a clear management decision.</w:t>
      </w:r>
    </w:p>
    <w:p>
      <w:pPr>
        <w:spacing w:after="80" w:before="200"/>
      </w:pPr>
      <w:r>
        <w:rPr>
          <w:rFonts w:ascii="Calibri" w:cs="Calibri" w:eastAsia="Calibri" w:hAnsi="Calibri"/>
          <w:b/>
          <w:bCs/>
          <w:color w:val="1F2937"/>
          <w:sz w:val="23"/>
          <w:szCs w:val="23"/>
        </w:rPr>
        <w:t xml:space="preserve">2. Executive view  (1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Sidebar: 1 · Posture</w:t>
      </w:r>
    </w:p>
    <w:p>
      <w:pPr>
        <w:spacing w:after="40"/>
      </w:pPr>
      <w:r>
        <w:rPr>
          <w:rFonts w:ascii="Calibri" w:cs="Calibri" w:eastAsia="Calibri" w:hAnsi="Calibri"/>
          <w:b/>
          <w:bCs/>
          <w:sz w:val="21"/>
          <w:szCs w:val="21"/>
        </w:rPr>
        <w:t xml:space="preserve">Click: </w:t>
      </w:r>
      <w:r>
        <w:rPr>
          <w:rFonts w:ascii="Calibri" w:cs="Calibri" w:eastAsia="Calibri" w:hAnsi="Calibri"/>
          <w:b w:val="false"/>
          <w:bCs w:val="false"/>
          <w:sz w:val="21"/>
          <w:szCs w:val="21"/>
        </w:rPr>
        <w:t xml:space="preserve">The Critical + High tile to show the risks behind it.</w:t>
      </w:r>
    </w:p>
    <w:p>
      <w:pPr>
        <w:spacing w:after="40"/>
      </w:pPr>
      <w:r>
        <w:rPr>
          <w:rFonts w:ascii="Calibri" w:cs="Calibri" w:eastAsia="Calibri" w:hAnsi="Calibri"/>
          <w:b/>
          <w:bCs/>
          <w:sz w:val="21"/>
          <w:szCs w:val="21"/>
        </w:rPr>
        <w:t xml:space="preserve">On screen: </w:t>
      </w:r>
      <w:r>
        <w:rPr>
          <w:rFonts w:ascii="Calibri" w:cs="Calibri" w:eastAsia="Calibri" w:hAnsi="Calibri"/>
          <w:b w:val="false"/>
          <w:bCs w:val="false"/>
          <w:sz w:val="21"/>
          <w:szCs w:val="21"/>
        </w:rPr>
        <w:t xml:space="preserve">Net exposure against board appetite, Critical + High count, KRIs breached, recent activity.</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This is the whole picture in thirty seconds. Where we are against appetite, which risks are critical, and which indicators have breached. Every number opens up to show what is behind it. Today the figures are illustrative. In a pilot they come from your data.</w:t>
      </w:r>
    </w:p>
    <w:p>
      <w:pPr>
        <w:spacing w:after="100"/>
      </w:pPr>
      <w:r>
        <w:rPr>
          <w:rFonts w:ascii="Calibri" w:cs="Calibri" w:eastAsia="Calibri" w:hAnsi="Calibri"/>
          <w:b/>
          <w:bCs/>
          <w:sz w:val="21"/>
          <w:szCs w:val="21"/>
        </w:rPr>
        <w:t xml:space="preserve">Ask the audience: </w:t>
      </w:r>
      <w:r>
        <w:rPr>
          <w:rFonts w:ascii="Calibri" w:cs="Calibri" w:eastAsia="Calibri" w:hAnsi="Calibri"/>
          <w:b w:val="false"/>
          <w:bCs w:val="false"/>
          <w:sz w:val="21"/>
          <w:szCs w:val="21"/>
        </w:rPr>
        <w:t xml:space="preserve">"How long does it take your team today to answer: are we inside appetite right now?"</w:t>
      </w:r>
    </w:p>
    <w:p>
      <w:pPr>
        <w:spacing w:after="80" w:before="200"/>
      </w:pPr>
      <w:r>
        <w:rPr>
          <w:rFonts w:ascii="Calibri" w:cs="Calibri" w:eastAsia="Calibri" w:hAnsi="Calibri"/>
          <w:b/>
          <w:bCs/>
          <w:color w:val="1F2937"/>
          <w:sz w:val="23"/>
          <w:szCs w:val="23"/>
        </w:rPr>
        <w:t xml:space="preserve">3. The feed  (1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Sidebar: 2 · External triggers, scroll to Live Risk Signals</w:t>
      </w:r>
    </w:p>
    <w:p>
      <w:pPr>
        <w:spacing w:after="40"/>
      </w:pPr>
      <w:r>
        <w:rPr>
          <w:rFonts w:ascii="Calibri" w:cs="Calibri" w:eastAsia="Calibri" w:hAnsi="Calibri"/>
          <w:b/>
          <w:bCs/>
          <w:sz w:val="21"/>
          <w:szCs w:val="21"/>
        </w:rPr>
        <w:t xml:space="preserve">On screen: </w:t>
      </w:r>
      <w:r>
        <w:rPr>
          <w:rFonts w:ascii="Calibri" w:cs="Calibri" w:eastAsia="Calibri" w:hAnsi="Calibri"/>
          <w:b w:val="false"/>
          <w:bCs w:val="false"/>
          <w:sz w:val="21"/>
          <w:szCs w:val="21"/>
        </w:rPr>
        <w:t xml:space="preserve">Each signal with severity, the business it affects, its source and how long ago it was published.</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These are outside signals: market, regulatory, economic. Each one is tagged by severity and by the part of the business it touches. You can see the source and how fresh it is. Where the live feed is not connected, items are clearly marked Simulated.</w:t>
      </w:r>
    </w:p>
    <w:p>
      <w:pPr>
        <w:spacing w:after="80" w:before="200"/>
      </w:pPr>
      <w:r>
        <w:rPr>
          <w:rFonts w:ascii="Calibri" w:cs="Calibri" w:eastAsia="Calibri" w:hAnsi="Calibri"/>
          <w:b/>
          <w:bCs/>
          <w:color w:val="1F2937"/>
          <w:sz w:val="23"/>
          <w:szCs w:val="23"/>
        </w:rPr>
        <w:t xml:space="preserve">4. Hero story  (1.5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External triggers, Priority Actions</w:t>
      </w:r>
    </w:p>
    <w:p>
      <w:pPr>
        <w:spacing w:after="40"/>
      </w:pPr>
      <w:r>
        <w:rPr>
          <w:rFonts w:ascii="Calibri" w:cs="Calibri" w:eastAsia="Calibri" w:hAnsi="Calibri"/>
          <w:b/>
          <w:bCs/>
          <w:sz w:val="21"/>
          <w:szCs w:val="21"/>
        </w:rPr>
        <w:t xml:space="preserve">Click: </w:t>
      </w:r>
      <w:r>
        <w:rPr>
          <w:rFonts w:ascii="Calibri" w:cs="Calibri" w:eastAsia="Calibri" w:hAnsi="Calibri"/>
          <w:b w:val="false"/>
          <w:bCs w:val="false"/>
          <w:sz w:val="21"/>
          <w:szCs w:val="21"/>
        </w:rPr>
        <w:t xml:space="preserve">The top item, or the Construction Cost item.</w:t>
      </w:r>
    </w:p>
    <w:p>
      <w:pPr>
        <w:spacing w:after="40"/>
      </w:pPr>
      <w:r>
        <w:rPr>
          <w:rFonts w:ascii="Calibri" w:cs="Calibri" w:eastAsia="Calibri" w:hAnsi="Calibri"/>
          <w:b/>
          <w:bCs/>
          <w:sz w:val="21"/>
          <w:szCs w:val="21"/>
        </w:rPr>
        <w:t xml:space="preserve">On screen: </w:t>
      </w:r>
      <w:r>
        <w:rPr>
          <w:rFonts w:ascii="Calibri" w:cs="Calibri" w:eastAsia="Calibri" w:hAnsi="Calibri"/>
          <w:b w:val="false"/>
          <w:bCs w:val="false"/>
          <w:sz w:val="21"/>
          <w:szCs w:val="21"/>
        </w:rPr>
        <w:t xml:space="preserve">Why This Matters, Portfolio Impact, What To Do, If action taken vs If ignored, owner and deadline, the triggering signal.</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Take our top risk: construction cost overrun. The tool shows which signal triggered it, why it matters to this business, and which portfolios are affected. It sets out what to do, who owns it and by when, and the difference between acting and ignoring it. The AI analysis is a recommendation. A person approves it.</w:t>
      </w:r>
    </w:p>
    <w:p>
      <w:pPr>
        <w:spacing w:after="80" w:before="200"/>
      </w:pPr>
      <w:r>
        <w:rPr>
          <w:rFonts w:ascii="Calibri" w:cs="Calibri" w:eastAsia="Calibri" w:hAnsi="Calibri"/>
          <w:b/>
          <w:bCs/>
          <w:color w:val="1F2937"/>
          <w:sz w:val="23"/>
          <w:szCs w:val="23"/>
        </w:rPr>
        <w:t xml:space="preserve">5. From signal to decision  (1.5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Sidebar: 5 · Stress &amp; decide</w:t>
      </w:r>
    </w:p>
    <w:p>
      <w:pPr>
        <w:spacing w:after="40"/>
      </w:pPr>
      <w:r>
        <w:rPr>
          <w:rFonts w:ascii="Calibri" w:cs="Calibri" w:eastAsia="Calibri" w:hAnsi="Calibri"/>
          <w:b/>
          <w:bCs/>
          <w:sz w:val="21"/>
          <w:szCs w:val="21"/>
        </w:rPr>
        <w:t xml:space="preserve">Click: </w:t>
      </w:r>
      <w:r>
        <w:rPr>
          <w:rFonts w:ascii="Calibri" w:cs="Calibri" w:eastAsia="Calibri" w:hAnsi="Calibri"/>
          <w:b w:val="false"/>
          <w:bCs w:val="false"/>
          <w:sz w:val="21"/>
          <w:szCs w:val="21"/>
        </w:rPr>
        <w:t xml:space="preserve">Preset "Construction Cost Shock", then Run scenario. Then Route the decision.</w:t>
      </w:r>
    </w:p>
    <w:p>
      <w:pPr>
        <w:spacing w:after="40"/>
      </w:pPr>
      <w:r>
        <w:rPr>
          <w:rFonts w:ascii="Calibri" w:cs="Calibri" w:eastAsia="Calibri" w:hAnsi="Calibri"/>
          <w:b/>
          <w:bCs/>
          <w:sz w:val="21"/>
          <w:szCs w:val="21"/>
        </w:rPr>
        <w:t xml:space="preserve">On screen: </w:t>
      </w:r>
      <w:r>
        <w:rPr>
          <w:rFonts w:ascii="Calibri" w:cs="Calibri" w:eastAsia="Calibri" w:hAnsi="Calibri"/>
          <w:b w:val="false"/>
          <w:bCs w:val="false"/>
          <w:sz w:val="21"/>
          <w:szCs w:val="21"/>
        </w:rPr>
        <w:t xml:space="preserve">Stressed exposure, "Show calculation", then "What can we do about it?" with ranked options.</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Now we test it. Cost up, supply chain stretched. Here is the exposure, and exactly how it is calculated. Below are the options, ranked by return on effort. For each one: how much it reduces, how feasible it is, the cost, and the knock-on effect. For example, re-aligning the supply chain can delay project handovers. The cost of doing nothing is shown too.</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The decision goes into an approval workflow. Every step is logged.</w:t>
      </w:r>
    </w:p>
    <w:p>
      <w:pPr>
        <w:spacing w:after="80" w:before="200"/>
      </w:pPr>
      <w:r>
        <w:rPr>
          <w:rFonts w:ascii="Calibri" w:cs="Calibri" w:eastAsia="Calibri" w:hAnsi="Calibri"/>
          <w:b/>
          <w:bCs/>
          <w:color w:val="1F2937"/>
          <w:sz w:val="23"/>
          <w:szCs w:val="23"/>
        </w:rPr>
        <w:t xml:space="preserve">6. Briefing and register link  (1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External triggers, AI Fusion Layer; then Executive Brief</w:t>
      </w:r>
    </w:p>
    <w:p>
      <w:pPr>
        <w:spacing w:after="40"/>
      </w:pPr>
      <w:r>
        <w:rPr>
          <w:rFonts w:ascii="Calibri" w:cs="Calibri" w:eastAsia="Calibri" w:hAnsi="Calibri"/>
          <w:b/>
          <w:bCs/>
          <w:sz w:val="21"/>
          <w:szCs w:val="21"/>
        </w:rPr>
        <w:t xml:space="preserve">Click: </w:t>
      </w:r>
      <w:r>
        <w:rPr>
          <w:rFonts w:ascii="Calibri" w:cs="Calibri" w:eastAsia="Calibri" w:hAnsi="Calibri"/>
          <w:b w:val="false"/>
          <w:bCs w:val="false"/>
          <w:sz w:val="21"/>
          <w:szCs w:val="21"/>
        </w:rPr>
        <w:t xml:space="preserve">Generate Executive Brief.</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This is the key point. We do not replace your risk register, we enrich it. Each outside signal is mapped onto your existing risks, showing whether it makes them worse or better. And on demand, the tool produces a board-ready brief for the risk committee.</w:t>
      </w:r>
    </w:p>
    <w:p>
      <w:pPr>
        <w:spacing w:after="100"/>
      </w:pPr>
      <w:r>
        <w:rPr>
          <w:rFonts w:ascii="Calibri" w:cs="Calibri" w:eastAsia="Calibri" w:hAnsi="Calibri"/>
          <w:b/>
          <w:bCs/>
          <w:sz w:val="21"/>
          <w:szCs w:val="21"/>
        </w:rPr>
        <w:t xml:space="preserve">Who uses it: </w:t>
      </w:r>
      <w:r>
        <w:rPr>
          <w:rFonts w:ascii="Calibri" w:cs="Calibri" w:eastAsia="Calibri" w:hAnsi="Calibri"/>
          <w:b w:val="false"/>
          <w:bCs w:val="false"/>
          <w:sz w:val="21"/>
          <w:szCs w:val="21"/>
        </w:rPr>
        <w:t xml:space="preserve">Risk champions keep their risks current. Risk managers challenge and track. Executives decide. The board risk committee gets the brief.</w:t>
      </w:r>
    </w:p>
    <w:p>
      <w:pPr>
        <w:spacing w:after="80" w:before="200"/>
      </w:pPr>
      <w:r>
        <w:rPr>
          <w:rFonts w:ascii="Calibri" w:cs="Calibri" w:eastAsia="Calibri" w:hAnsi="Calibri"/>
          <w:b/>
          <w:bCs/>
          <w:color w:val="1F2937"/>
          <w:sz w:val="23"/>
          <w:szCs w:val="23"/>
        </w:rPr>
        <w:t xml:space="preserve">7. Close  (0.5 min)</w:t>
      </w:r>
    </w:p>
    <w:p>
      <w:pPr>
        <w:spacing w:after="40"/>
      </w:pPr>
      <w:r>
        <w:rPr>
          <w:rFonts w:ascii="Calibri" w:cs="Calibri" w:eastAsia="Calibri" w:hAnsi="Calibri"/>
          <w:b/>
          <w:bCs/>
          <w:sz w:val="21"/>
          <w:szCs w:val="21"/>
        </w:rPr>
        <w:t xml:space="preserve">Screen: </w:t>
      </w:r>
      <w:r>
        <w:rPr>
          <w:rFonts w:ascii="Calibri" w:cs="Calibri" w:eastAsia="Calibri" w:hAnsi="Calibri"/>
          <w:b w:val="false"/>
          <w:bCs w:val="false"/>
          <w:sz w:val="21"/>
          <w:szCs w:val="21"/>
        </w:rPr>
        <w:t xml:space="preserve">Back to Posture</w:t>
      </w:r>
    </w:p>
    <w:p>
      <w:pPr>
        <w:pBdr>
          <w:left w:val="single" w:color="0B6E5B" w:sz="18" w:space="8"/>
        </w:pBdr>
        <w:shd w:fill="E8F3F0" w:color="auto" w:val="clear"/>
        <w:spacing w:after="120" w:before="60"/>
        <w:ind w:left="360"/>
      </w:pPr>
      <w:r>
        <w:rPr>
          <w:rFonts w:ascii="Calibri" w:cs="Calibri" w:eastAsia="Calibri" w:hAnsi="Calibri"/>
          <w:b/>
          <w:bCs/>
          <w:color w:val="0B6E5B"/>
          <w:sz w:val="21"/>
          <w:szCs w:val="21"/>
        </w:rPr>
        <w:t xml:space="preserve">Say: </w:t>
      </w:r>
      <w:r>
        <w:rPr>
          <w:rFonts w:ascii="Calibri" w:cs="Calibri" w:eastAsia="Calibri" w:hAnsi="Calibri"/>
          <w:i/>
          <w:iCs/>
          <w:sz w:val="21"/>
          <w:szCs w:val="21"/>
        </w:rPr>
        <w:t xml:space="preserve">In one line: outside risk, read in your business context, so you act before the issue lands, not after. As a next step we suggest a short pilot on your real portfolio, so every number on screen is yours.</w:t>
      </w:r>
    </w:p>
    <w:p>
      <w:pPr>
        <w:pBdr>
          <w:bottom w:val="single" w:color="0B6E5B" w:sz="6" w:space="2"/>
        </w:pBdr>
        <w:spacing w:after="100" w:before="240"/>
      </w:pPr>
      <w:r>
        <w:rPr>
          <w:rFonts w:ascii="Calibri" w:cs="Calibri" w:eastAsia="Calibri" w:hAnsi="Calibri"/>
          <w:b/>
          <w:bCs/>
          <w:color w:val="0B6E5B"/>
          <w:sz w:val="26"/>
          <w:szCs w:val="26"/>
        </w:rPr>
        <w:t xml:space="preserve">Q&amp;A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0B6E5B" w:color="auto"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5726"/>
            <w:tcBorders>
              <w:top w:val="single" w:color="BFBFBF" w:sz="4"/>
              <w:left w:val="single" w:color="BFBFBF" w:sz="4"/>
              <w:bottom w:val="single" w:color="BFBFBF" w:sz="4"/>
              <w:right w:val="single" w:color="BFBFBF" w:sz="4"/>
            </w:tcBorders>
            <w:shd w:fill="0B6E5B" w:color="auto" w:val="clear"/>
            <w:tcMar>
              <w:top w:type="dxa" w:w="60"/>
              <w:left w:type="dxa" w:w="100"/>
              <w:bottom w:type="dxa" w:w="60"/>
              <w:right w:type="dxa" w:w="100"/>
            </w:tcMar>
          </w:tcPr>
          <w:p>
            <w:r>
              <w:rPr>
                <w:rFonts w:ascii="Calibri" w:cs="Calibri" w:eastAsia="Calibri" w:hAnsi="Calibri"/>
                <w:b/>
                <w:bCs/>
                <w:color w:val="FFFFFF"/>
                <w:sz w:val="20"/>
                <w:szCs w:val="20"/>
              </w:rPr>
              <w:t xml:space="preserve">Answer</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Is this live data?</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structure and workflow are real. The numbers are illustrative. In a pilot they come from your systems.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Can the AI make things up?</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Every AI output is labelled and needs human approval. Recommendations come from a fixed, reviewable library, and every figure shows its source.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Does it replace our risk register?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 It sits on top of it and enriches it with outside signals.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Does it connect to our systems?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Not yet. Integration is scoped in the pilot. Today's demo uses no client systems.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What does a pilot look like?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 short engagement on one portfolio using your real risks and data, so you judge the value on your own numbers.</w:t>
            </w:r>
          </w:p>
        </w:tc>
      </w:tr>
    </w:tbl>
    <w:sectPr>
      <w:pgSz w:w="11906" w:h="16838"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2026-10-29T10:44:36.769Z</dcterms:created>
  <dcterms:modified xsi:type="dcterms:W3CDTF">2026-10-29T10:44:36.781Z</dcterms:modified>
</cp:coreProperties>
</file>

<file path=docProps/custom.xml><?xml version="1.0" encoding="utf-8"?>
<Properties xmlns="http://schemas.openxmlformats.org/officeDocument/2006/custom-properties" xmlns:vt="http://schemas.openxmlformats.org/officeDocument/2006/docPropsVTypes"/>
</file>