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Gfg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Monthly local revenue collection </w:t>
      </w:r>
      <w:r>
        <w:rPr/>
        <w:t>(by county FY16/17 and FY15/16)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5">
        <w:r>
          <w:rPr>
            <w:rStyle w:val="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6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A new field </w:t>
      </w:r>
      <w:r>
        <w:rPr>
          <w:b/>
          <w:bCs/>
        </w:rPr>
        <w:t>FYear</w:t>
      </w:r>
      <w:r>
        <w:rPr/>
        <w:t xml:space="preserve"> was introduced which stands for Financial Year.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Exchequer Releases from CRF to County Operations Accounts (Kshs.Million by county FY16/17 and FY15/16)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Created by Merging Exchequer Releases from CRF to County Operations Accounts, FY 2015-16 (Kshs. Million) and Exchequer Releases from CRF to County Operations Accounts, FY 2016-17 (Kshs.Million)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gdfgdfg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raw/Monthly local revenue collection for the period FY2016-2017.csv" TargetMode="External"/><Relationship Id="rId6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LibreOffice/6.1.2.1$Windows_X86_64 LibreOffice_project/65905a128db06ba48db947242809d14d3f9a93fe</Application>
  <Pages>1</Pages>
  <Words>220</Words>
  <Characters>1256</Characters>
  <CharactersWithSpaces>1454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2018-10-31T22:07:27Z</dcterms:modified>
  <cp:revision>8</cp:revision>
  <dc:subject/>
  <dc:title/>
</cp:coreProperties>
</file>