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Spatial Constellation Harness</w:t>
      </w:r>
    </w:p>
    <w:p>
      <w:pPr>
        <w:pStyle w:val="Subtitle"/>
      </w:pPr>
      <w:r>
        <w:t>Product strategy and focused implementation plan</w:t>
      </w:r>
    </w:p>
    <w:p>
      <w:r>
        <w:t>Revised 11 October 2026</w:t>
      </w:r>
    </w:p>
    <w:p>
      <w:pPr>
        <w:pStyle w:val="Heading2"/>
      </w:pPr>
      <w:r>
        <w:t>Build decision</w:t>
      </w:r>
    </w:p>
    <w:p>
      <w:r>
        <w:t>Build a focused Muse Code prototype that proves developers can understand, steer, and review parallel coding work more effectively. Broader investment depends on repeated use and measurable improvements in supervision and review. Commercial demand remains a hypothesis.</w:t>
      </w:r>
    </w:p>
    <w:p>
      <w:pPr>
        <w:pStyle w:val="Heading2"/>
      </w:pPr>
      <w:r>
        <w:t>Product promise</w:t>
      </w:r>
    </w:p>
    <w:p>
      <w:r>
        <w:t>Understand, steer, and review parallel coding work from one live map of tasks, dependencies, changes, and evidence.</w:t>
      </w:r>
    </w:p>
    <w:p>
      <w:r>
        <w:t>The primary user is a developer already delegating implementation, tests, and review across several coding agents. Their problem is reconstructing ownership, progress, blockers, and completion evidence from separate transcripts. The harness should reduce that reconstruction effort and make the next useful action clear.</w:t>
      </w:r>
    </w:p>
    <w:p>
      <w:pPr>
        <w:pStyle w:val="Heading2"/>
      </w:pPr>
      <w:r>
        <w:t>Distinctive value</w:t>
      </w:r>
    </w:p>
    <w:p>
      <w:r>
        <w:t>The constellation represents execution relationships and evidence, rather than arranging terminal panes on a canvas. Each useful relationship must answer a practical question: who owns this work, what is blocking it, which change resulted, or which test and review support it?</w:t>
      </w:r>
    </w:p>
    <w:p>
      <w:r>
        <w:t>Spatial agent workspaces already exist. AgentGrid documents a canvas for agents and development tools; cmux documents parallel workspaces and agent status. Visual craft and low resource use support adoption, but neither establishes a defensible advantage. The candidate advantage is accurate provenance, fast attention handling, and an effective review loop. [1–2]</w:t>
      </w:r>
    </w:p>
    <w:p>
      <w:pPr>
        <w:pStyle w:val="Heading2"/>
      </w:pPr>
      <w:r>
        <w:t>Initial scope</w:t>
      </w:r>
    </w:p>
    <w:p>
      <w:r>
        <w:t>Muse Code only, macOS first, local repositories, and a small number of concurrent sessions. Default to Tauri with a TypeScript interface and the official Muse SDK in a separately supervised Node service. Treat this as a provisional choice until a lifecycle and rendering spike passes. Cross-platform delivery and other agent adapters follow demonstrated demand.</w:t>
      </w:r>
    </w:p>
    <w:p>
      <w:r>
        <w:br w:type="page"/>
      </w:r>
    </w:p>
    <w:p>
      <w:pPr>
        <w:pStyle w:val="Heading1"/>
      </w:pPr>
      <w:r>
        <w:t>1 Focused MVP</w:t>
      </w:r>
    </w:p>
    <w:p>
      <w:r>
        <w:t>The MVP must deliver the complete supervision and review loop. Multi-session visibility belongs in the first usable release because it is central to the product hypothesis.</w:t>
      </w:r>
    </w:p>
    <w:p>
      <w:pPr>
        <w:pStyle w:val="Heading2"/>
      </w:pPr>
      <w:r>
        <w:t>One complete workflow</w:t>
      </w:r>
    </w:p>
    <w:p>
      <w:pPr>
        <w:pStyle w:val="ListNumber"/>
      </w:pPr>
      <w:r>
        <w:t>Open an existing repository and start a Muse session from a simple prompt. Display the current task and actual runtime status.</w:t>
      </w:r>
    </w:p>
    <w:p>
      <w:pPr>
        <w:pStyle w:val="ListNumber"/>
      </w:pPr>
      <w:r>
        <w:t>Observe a task with persistent subagents. Show parentage, task ownership, worktree association where supplied, and explicit dependency or handoff relationships.</w:t>
      </w:r>
    </w:p>
    <w:p>
      <w:pPr>
        <w:pStyle w:val="ListNumber"/>
      </w:pPr>
      <w:r>
        <w:t>Switch between concurrent sessions without losing context. A global attention queue exposes approvals, questions, failures, and work ready for review.</w:t>
      </w:r>
    </w:p>
    <w:p>
      <w:pPr>
        <w:pStyle w:val="ListNumber"/>
      </w:pPr>
      <w:r>
        <w:t>Select a task to read its transcript, inspect tool output, and send a supported steering command. Clearly show the target and command acknowledgement.</w:t>
      </w:r>
    </w:p>
    <w:p>
      <w:pPr>
        <w:pStyle w:val="ListNumber"/>
      </w:pPr>
      <w:r>
        <w:t>Review a diff together with the exact revision, test run, and reviewer result that support it. Missing or stale evidence remains visible.</w:t>
      </w:r>
    </w:p>
    <w:p>
      <w:pPr>
        <w:pStyle w:val="ListNumber"/>
      </w:pPr>
      <w:r>
        <w:t>Close and reopen the GUI while the supervisor continues running. Reattach to current state and recover pending decisions without duplicate submission.</w:t>
      </w:r>
    </w:p>
    <w:p>
      <w:pPr>
        <w:pStyle w:val="Heading2"/>
      </w:pPr>
      <w:r>
        <w:t>Required surfaces</w:t>
      </w:r>
    </w:p>
    <w:p>
      <w:pPr>
        <w:pStyle w:val="ListBullet"/>
      </w:pPr>
      <w:r>
        <w:t>Stable task map with labelled relationships, collapsed completed branches, and keyboard navigation.</w:t>
      </w:r>
    </w:p>
    <w:p>
      <w:pPr>
        <w:pStyle w:val="ListBullet"/>
      </w:pPr>
      <w:r>
        <w:t>Equivalent list or tree view, search, command palette, and a global attention queue. Common actions must not require panning.</w:t>
      </w:r>
    </w:p>
    <w:p>
      <w:pPr>
        <w:pStyle w:val="ListBullet"/>
      </w:pPr>
      <w:r>
        <w:t>Selected-task inspector containing transcript, diff, test evidence, review result, and contextual controls.</w:t>
      </w:r>
    </w:p>
    <w:p>
      <w:pPr>
        <w:pStyle w:val="ListBullet"/>
      </w:pPr>
      <w:r>
        <w:t>Plain session picker with status and unread attention. A second spatial overview is optional after validation.</w:t>
      </w:r>
    </w:p>
    <w:p>
      <w:pPr>
        <w:pStyle w:val="Heading2"/>
      </w:pPr>
      <w:r>
        <w:t>Deferred work</w:t>
      </w:r>
    </w:p>
    <w:p>
      <w:r>
        <w:t>Defer other agent providers, remote machines, scheduling, a workflow authoring language, sophisticated force simulation, extensive customisation, and automated merging or worktree deletion. Use an editor or established Git tools for integration in the MVP. Support light and dark themes with a small consistent design system; defer decorative motion and elaborate transitions.</w:t>
      </w:r>
    </w:p>
    <w:p>
      <w:pPr>
        <w:pStyle w:val="Heading2"/>
      </w:pPr>
      <w:r>
        <w:t>Success condition</w:t>
      </w:r>
    </w:p>
    <w:p>
      <w:r>
        <w:t>A user can identify a blocker, answer a decision, inspect the relevant change and evidence, and return after closing the UI without reconstructing the workflow manually. A visually impressive demo alone does not satisfy this condition.</w:t>
      </w:r>
    </w:p>
    <w:p>
      <w:r>
        <w:br w:type="page"/>
      </w:r>
    </w:p>
    <w:p>
      <w:pPr>
        <w:pStyle w:val="Heading1"/>
      </w:pPr>
      <w:r>
        <w:t>2 Runtime and lifecycle architecture</w:t>
      </w:r>
    </w:p>
    <w:p>
      <w:pPr>
        <w:pStyle w:val="Heading2"/>
      </w:pPr>
      <w:r>
        <w:t>Process ownership</w:t>
      </w:r>
    </w:p>
    <w:p>
      <w:r>
        <w:t>Use three explicit boundaries: the Tauri GUI renders and accepts input; a per-user supervisor owns SDK connections and muse serve processes; Muse owns agent execution, permissions, and session logs. The GUI must not directly own the lifetime of a running Muse host.</w:t>
      </w:r>
    </w:p>
    <w:p>
      <w:r>
        <w:t>The supervisor exposes a versioned local API over an owner-restricted Unix socket. It launches at login or on demand and remains alive when the window closes. Closing the GUI disconnects the client only. Explicit quit-and-stop is a separate action that identifies affected sessions. Reopening the GUI connects to the existing supervisor rather than creating duplicate hosts.</w:t>
      </w:r>
    </w:p>
    <w:p>
      <w:r>
        <w:t>This boundary is necessary because the documented stdio host drains and shuts down when stdin closes. Durable logs support recovery; they do not themselves keep work executing. Computer sleep suspends local work, and logout or machine restart requires host recovery rather than an uninterrupted-execution promise. [4]</w:t>
      </w:r>
    </w:p>
    <w:p>
      <w:pPr>
        <w:pStyle w:val="Heading2"/>
      </w:pPr>
      <w:r>
        <w:t>Connection and command handling</w:t>
      </w:r>
    </w:p>
    <w:p>
      <w:r>
        <w:t>The supervisor performs handshake, records host and SDK versions, checks durability and capabilities, and maintains a host registry. Start with one host per top-level session unless a spike confirms safe sharing. Respect session writer leases and show a clear error when another process owns a session.</w:t>
      </w:r>
    </w:p>
    <w:p>
      <w:r>
        <w:t>Before dispatch, persist command ID, target session or agent, operation, and status in a supervisor journal. Reconcile accepted commands using documented idempotency and recovery semantics. Never blindly resend a command with an uncertain outcome after host death; query or recover authoritative state first. The UI distinguishes sending, accepted, applied, rejected, and outcome unknown.</w:t>
      </w:r>
    </w:p>
    <w:p>
      <w:pPr>
        <w:pStyle w:val="Heading2"/>
      </w:pPr>
      <w:r>
        <w:t>Failure and recovery</w:t>
      </w:r>
    </w:p>
    <w:p>
      <w:r>
        <w:t>On GUI failure, runtime execution continues. On host failure, capture stderr, classify the exit, mark work interrupted or unknown, and attempt supported recovery with bounded retries. On supervisor failure, reconnect only to discoverable surviving hosts; otherwise reload durable sessions and report interruption. Log replay does not imply replaying external side effects.</w:t>
      </w:r>
    </w:p>
    <w:p>
      <w:r>
        <w:t>Read sessionDurability from the handshake and refuse to promise recovery for ephemeral or unfamiliar profiles. Exercise SDK mismatch, lease contention, stream gaps, duplicate delivery, and restart scenarios before adding visual polish. Pre-1.0 SDK and protocol changes require pinned compatibility testing and visible diagnostics. [3–6]</w:t>
      </w:r>
    </w:p>
    <w:p>
      <w:r>
        <w:br w:type="page"/>
      </w:r>
    </w:p>
    <w:p>
      <w:pPr>
        <w:pStyle w:val="Heading1"/>
      </w:pPr>
      <w:r>
        <w:t>3 State and evidence model</w:t>
      </w:r>
    </w:p>
    <w:p>
      <w:pPr>
        <w:pStyle w:val="Heading2"/>
      </w:pPr>
      <w:r>
        <w:t>Authoritative execution state</w:t>
      </w:r>
    </w:p>
    <w:p>
      <w:r>
        <w:t>Use the SDK fold as the authority for execution state. Maintain session, turn, item, subagent, approval, and workflow identities with their revisions and stream cursors. Streaming deltas are provisional; terminal item objects are authoritative. Respect snapshots, gap recovery, unknown item kinds, and the SDK revision rules. The GUI receives bounded snapshots and incremental updates from the supervisor. [7]</w:t>
      </w:r>
    </w:p>
    <w:p>
      <w:pPr>
        <w:pStyle w:val="Heading2"/>
      </w:pPr>
      <w:r>
        <w:t>Separate presentation state</w:t>
      </w:r>
    </w:p>
    <w:p>
      <w:r>
        <w:t>Persist viewport, node placement, pinning, collapsed groups, saved filters, and user annotations in a local presentation store keyed by stable runtime IDs. This store never determines whether work succeeded or whether a command was authorised. Disposable projection caches include schema versions and can be rebuilt. A cold replay and a live stream must converge on the same execution projection.</w:t>
      </w:r>
    </w:p>
    <w:p>
      <w:pPr>
        <w:pStyle w:val="Heading2"/>
      </w:pPr>
      <w:r>
        <w:t>Entities and relationship meaning</w:t>
      </w:r>
    </w:p>
    <w:p>
      <w:r>
        <w:t>Distinguish tasks, agents, artifacts, and evidence. An agent may perform several tasks; agent identity alone is not task identity. If the runtime does not supply a task entity, use an explicit user label or a clearly marked derived grouping.</w:t>
      </w:r>
    </w:p>
    <w:p>
      <w:pPr>
        <w:pStyle w:val="ListBullet"/>
      </w:pPr>
      <w:r>
        <w:t>Parent or delegated to: an explicit runtime relationship between sessions or subagents.</w:t>
      </w:r>
    </w:p>
    <w:p>
      <w:pPr>
        <w:pStyle w:val="ListBullet"/>
      </w:pPr>
      <w:r>
        <w:t>Produced: an artifact is linked to the runtime event or command that created it.</w:t>
      </w:r>
    </w:p>
    <w:p>
      <w:pPr>
        <w:pStyle w:val="ListBullet"/>
      </w:pPr>
      <w:r>
        <w:t>Depends on or handed off to: show only when recorded explicitly or asserted by the user; chronology alone is insufficient.</w:t>
      </w:r>
    </w:p>
    <w:p>
      <w:pPr>
        <w:pStyle w:val="ListBullet"/>
      </w:pPr>
      <w:r>
        <w:t>Supports: a test or review applies to a specified artifact revision and execution environment.</w:t>
      </w:r>
    </w:p>
    <w:p>
      <w:r>
        <w:t>Record edge type, source event IDs, provenance, and revision. Any inferred relationship is labelled as inferred and cannot alone justify ready-for-review status. Unknown provenance remains unknown rather than being filled in with a plausible story.</w:t>
      </w:r>
    </w:p>
    <w:p>
      <w:pPr>
        <w:pStyle w:val="Heading2"/>
      </w:pPr>
      <w:r>
        <w:t>Review evidence and freshness</w:t>
      </w:r>
    </w:p>
    <w:p>
      <w:r>
        <w:t>A diff records repository, base and head revision or captured working-tree snapshot, producing task, and affected files. A test result records command, exit status, time, environment, and source revision or content fingerprint. A review records reviewer, inspected revision, findings, and outcome. A later edit invalidates applicable evidence until rechecked. If precise association is unavailable, label the evidence unverified.</w:t>
      </w:r>
    </w:p>
    <w:p>
      <w:r>
        <w:t>Agent-reported completion, passing tests, and user acceptance are separate states. Final artifacts remain inspectable even after a task is collapsed. Display reasoning or summaries only when supplied by the runtime; do not promise access to hidden reasoning.</w:t>
      </w:r>
    </w:p>
    <w:p>
      <w:r>
        <w:br w:type="page"/>
      </w:r>
    </w:p>
    <w:p>
      <w:pPr>
        <w:pStyle w:val="Heading1"/>
      </w:pPr>
      <w:r>
        <w:t>4 Interaction and delivery sequence</w:t>
      </w:r>
    </w:p>
    <w:p>
      <w:pPr>
        <w:pStyle w:val="Heading2"/>
      </w:pPr>
      <w:r>
        <w:t>Spatial interaction rules</w:t>
      </w:r>
    </w:p>
    <w:p>
      <w:r>
        <w:t>Begin with a constrained hierarchy grouped by task, with pinned positions and stable ordering. Preserve selection and spatial context during updates. Add nodes incrementally; never relayout the whole scene for each streamed token. Aggregate low-value events into the inspector and collapse completed branches. All status indicators have text or shape equivalents.</w:t>
      </w:r>
    </w:p>
    <w:p>
      <w:r>
        <w:t>The attention queue remains reachable from every view. Selecting an entry opens its task and decision context. Approval panels show the actual requested operation, repository or worktree, relevant arguments, scope, and runtime options. Bind decisions to the request ID and revision; refresh stale requests. Do not invent an approval option or bypass Muse policy.</w:t>
      </w:r>
    </w:p>
    <w:p>
      <w:r>
        <w:t>Provide a semantic list/tree surface with equivalent actions, screen-reader labels, visible focus, scalable text, and reduced-motion support. The constellation can use SVG or a virtualised scene graph; custom canvas rendering requires an explicit semantic accessibility layer. Transcript and diff views remain standard readable surfaces.</w:t>
      </w:r>
    </w:p>
    <w:p>
      <w:pPr>
        <w:pStyle w:val="Heading2"/>
      </w:pPr>
      <w:r>
        <w:t>Stage A Prove runtime behaviour</w:t>
      </w:r>
    </w:p>
    <w:p>
      <w:r>
        <w:t>Build the supervisor and a minimal diagnostic client. Verify start, steer, cancel, decisions, durable resume, GUI disconnect, host crash, and supervisor restart. Record which guarantees are supported by the actual binary. Exit gate: the lifecycle scenarios pass without duplicate commands, concealed interruptions, or stale approvals.</w:t>
      </w:r>
    </w:p>
    <w:p>
      <w:pPr>
        <w:pStyle w:val="Heading2"/>
      </w:pPr>
      <w:r>
        <w:t>Stage B Build the complete vertical slice</w:t>
      </w:r>
    </w:p>
    <w:p>
      <w:r>
        <w:t>Implement concurrent session visibility, task map and equivalent list, attention queue, transcript, diff inspection, and revision-bound evidence. Use a representative implementation plus testing and review task. Exit gate: the complete MVP workflow works with real Muse events and can be reopened accurately.</w:t>
      </w:r>
    </w:p>
    <w:p>
      <w:pPr>
        <w:pStyle w:val="Heading2"/>
      </w:pPr>
      <w:r>
        <w:t>Stage C Validate usefulness and resource use</w:t>
      </w:r>
    </w:p>
    <w:p>
      <w:r>
        <w:t>Run comparison sessions with developers who already use parallel agents. Improve layout and information hierarchy from observed errors and delays. Profile bounded rendering and supervisor activity before refining typography and themes. Exit gate: meaningful improvement in supervision and review, acceptable resource use, and repeated voluntary use.</w:t>
      </w:r>
    </w:p>
    <w:p>
      <w:pPr>
        <w:pStyle w:val="Heading2"/>
      </w:pPr>
      <w:r>
        <w:t>Stage D Expand selectively</w:t>
      </w:r>
    </w:p>
    <w:p>
      <w:r>
        <w:t>Only after Stage C, consider other runtimes and operating systems. Adapters expose supported capabilities and provenance fidelity. Transcript parsing may provide visibility but cannot be presented as equivalent to native protocol control, approvals, or recovery. Add remote execution and Git integration only when users need them and the runtime contract supports them.</w:t>
      </w:r>
    </w:p>
    <w:p>
      <w:r>
        <w:br w:type="page"/>
      </w:r>
    </w:p>
    <w:p>
      <w:pPr>
        <w:pStyle w:val="Heading1"/>
      </w:pPr>
      <w:r>
        <w:t>5 Acceptance gates and adoption</w:t>
      </w:r>
    </w:p>
    <w:p>
      <w:pPr>
        <w:pStyle w:val="Heading2"/>
      </w:pPr>
      <w:r>
        <w:t>Provisional engineering targets</w:t>
      </w:r>
    </w:p>
    <w:p>
      <w:r>
        <w:t>Treat these as initial budgets to validate on a declared reference Mac, not claims about existing performance. Use 10 sessions, 50 visible task nodes, a stored history of 100,000 items, and bursts of 100 view updates per second as the benchmark workload. Keep large histories paged and outputs bounded.</w:t>
      </w:r>
    </w:p>
    <w:p>
      <w:pPr>
        <w:pStyle w:val="ListBullet"/>
      </w:pPr>
      <w:r>
        <w:t>Warm reattachment renders actionable current state within 2 seconds; local selection and attention navigation respond within 100 ms at the 95th percentile.</w:t>
      </w:r>
    </w:p>
    <w:p>
      <w:pPr>
        <w:pStyle w:val="ListBullet"/>
      </w:pPr>
      <w:r>
        <w:t>Idle GUI plus supervisor averages less than 1% of one CPU core over five minutes and uses less than 300 MB resident memory, excluding Muse and its child tools. Report the full process tree separately.</w:t>
      </w:r>
    </w:p>
    <w:p>
      <w:pPr>
        <w:pStyle w:val="ListBullet"/>
      </w:pPr>
      <w:r>
        <w:t>Streaming stays responsive with bounded queues. Backpressure or gaps are visible and recoverable; no silent loss or unbounded memory growth is acceptable.</w:t>
      </w:r>
    </w:p>
    <w:p>
      <w:pPr>
        <w:pStyle w:val="ListBullet"/>
      </w:pPr>
      <w:r>
        <w:t>GUI close and reopen preserves active execution when the supervisor is alive. Crash and restart tests converge to authoritative state without duplicate external actions.</w:t>
      </w:r>
    </w:p>
    <w:p>
      <w:pPr>
        <w:pStyle w:val="ListBullet"/>
      </w:pPr>
      <w:r>
        <w:t>Every MVP action is keyboard accessible and usable through the equivalent semantic view. Verify VoiceOver, 200% text scaling, contrast, focus, and reduced motion.</w:t>
      </w:r>
    </w:p>
    <w:p>
      <w:pPr>
        <w:pStyle w:val="Heading2"/>
      </w:pPr>
      <w:r>
        <w:t>Security and diagnostic boundaries</w:t>
      </w:r>
    </w:p>
    <w:p>
      <w:r>
        <w:t>Restrict local IPC to the owning user and authenticate the supervisor connection. Never expose the control API on a network interface by default. Treat repository content, tool output, and agent text as untrusted display data; escape markup and disable active content. Keep credentials in the runtime or OS credential store, bound diagnostic retention, and redact secrets before export. Runtime sandbox and permission enforcement remain Muse responsibilities.</w:t>
      </w:r>
    </w:p>
    <w:p>
      <w:pPr>
        <w:pStyle w:val="Heading2"/>
      </w:pPr>
      <w:r>
        <w:t>User validation and investment gate</w:t>
      </w:r>
    </w:p>
    <w:p>
      <w:r>
        <w:t>Recruit 5–8 developers who already supervise several agents. Compare the harness with their existing tools on matched tasks: find blocked work, resolve an approval, locate a change, and judge whether its evidence is current. Counterbalance task order and record task time, errors, missed attention, and confidence. A small pilot is directional evidence, not a market-size estimate.</w:t>
      </w:r>
    </w:p>
    <w:p>
      <w:r>
        <w:t>Proposed continuation gate: at least 30% faster median blocker identification, no increase in decision or review errors, and at least 4 of 6 pilot users choosing to use it repeatedly across two weeks. If the graph does not help, retain the evidence and attention features and revise the primary surface. Test willingness to pay separately before treating this as a commercial product.</w:t>
      </w:r>
    </w:p>
    <w:p>
      <w:pPr>
        <w:pStyle w:val="Heading2"/>
      </w:pPr>
      <w:r>
        <w:t>Distribution and unresolved assumptions</w:t>
      </w:r>
    </w:p>
    <w:p>
      <w:r>
        <w:t>Start with a downloadable local app for existing Muse users, clear binary prerequisites, and a short sample workflow. Establish how users discover it and whether first-run setup is reliable. Confirm access to Muse, subagent and artifact event fidelity, installation constraints, and actual usage demand in Stage A. Do not estimate the market from competing product existence or SDK repository popularity.</w:t>
      </w:r>
    </w:p>
    <w:p>
      <w:r>
        <w:br w:type="page"/>
      </w:r>
    </w:p>
    <w:p>
      <w:pPr>
        <w:pStyle w:val="Heading1"/>
      </w:pPr>
      <w:r>
        <w:t>6 Sources and implementation decisions</w:t>
      </w:r>
    </w:p>
    <w:p>
      <w:r>
        <w:t>Sources support the protocol and competitor descriptions. Product hypotheses, thresholds, process topology, and stack choices in this plan are proposed design decisions. Verify them against the installed Muse binary before implementation commitments.</w:t>
      </w:r>
    </w:p>
    <w:p>
      <w:pPr>
        <w:pStyle w:val="Heading2"/>
      </w:pPr>
      <w:r>
        <w:t>1 AgentGrid introduction</w:t>
      </w:r>
    </w:p>
    <w:p>
      <w:r>
        <w:t>https://agentgrid.sh/docs</w:t>
      </w:r>
    </w:p>
    <w:p>
      <w:pPr>
        <w:pStyle w:val="Heading2"/>
      </w:pPr>
      <w:r>
        <w:t>2 cmux terminal workspace</w:t>
      </w:r>
    </w:p>
    <w:p>
      <w:r>
        <w:t>https://cmux.com/tui</w:t>
      </w:r>
    </w:p>
    <w:p>
      <w:pPr>
        <w:pStyle w:val="Heading2"/>
      </w:pPr>
      <w:r>
        <w:t>3 Official Muse Code SDK and developer preview status</w:t>
      </w:r>
    </w:p>
    <w:p>
      <w:r>
        <w:t>https://github.com/meta-models/muse-code-sdk</w:t>
      </w:r>
    </w:p>
    <w:p>
      <w:pPr>
        <w:pStyle w:val="Heading2"/>
      </w:pPr>
      <w:r>
        <w:t>4 Muse host exit classification and stdin shutdown</w:t>
      </w:r>
    </w:p>
    <w:p>
      <w:r>
        <w:t>https://meta-models.github.io/muse-code-sdk/next/guides/msp-concepts/exit-classification/</w:t>
      </w:r>
    </w:p>
    <w:p>
      <w:pPr>
        <w:pStyle w:val="Heading2"/>
      </w:pPr>
      <w:r>
        <w:t>5 Muse durability profiles</w:t>
      </w:r>
    </w:p>
    <w:p>
      <w:r>
        <w:t>https://meta-models.github.io/muse-code-sdk/next/guides/msp-concepts/durability-profiles/</w:t>
      </w:r>
    </w:p>
    <w:p>
      <w:pPr>
        <w:pStyle w:val="Heading2"/>
      </w:pPr>
      <w:r>
        <w:t>6 Muse compatibility contract</w:t>
      </w:r>
    </w:p>
    <w:p>
      <w:r>
        <w:t>https://meta-models.github.io/muse-code-sdk/next/compatibility/</w:t>
      </w:r>
    </w:p>
    <w:p>
      <w:pPr>
        <w:pStyle w:val="Heading2"/>
      </w:pPr>
      <w:r>
        <w:t>7 Muse item revision fold model</w:t>
      </w:r>
    </w:p>
    <w:p>
      <w:r>
        <w:t>https://meta-models.github.io/muse-code-sdk/next/guides/msp-concepts/fold-model/</w:t>
      </w:r>
    </w:p>
    <w:p>
      <w:pPr>
        <w:pStyle w:val="Heading2"/>
      </w:pPr>
      <w:r>
        <w:t>Decisions to record after the runtime spike</w:t>
      </w:r>
    </w:p>
    <w:p>
      <w:pPr>
        <w:pStyle w:val="ListBullet"/>
      </w:pPr>
      <w:r>
        <w:t>Supported Muse binary and SDK versions, durability profile, capability checks, and upgrade policy.</w:t>
      </w:r>
    </w:p>
    <w:p>
      <w:pPr>
        <w:pStyle w:val="ListBullet"/>
      </w:pPr>
      <w:r>
        <w:t>Host ownership and reconnection behaviour, supervisor startup mechanism, and crash recovery limits.</w:t>
      </w:r>
    </w:p>
    <w:p>
      <w:pPr>
        <w:pStyle w:val="ListBullet"/>
      </w:pPr>
      <w:r>
        <w:t>Which task, relationship, artifact, and evidence identifiers are native versus derived.</w:t>
      </w:r>
    </w:p>
    <w:p>
      <w:pPr>
        <w:pStyle w:val="ListBullet"/>
      </w:pPr>
      <w:r>
        <w:t>Reference hardware, measured performance budgets, and accessibility implementation.</w:t>
      </w:r>
    </w:p>
    <w:p>
      <w:pPr>
        <w:pStyle w:val="ListBullet"/>
      </w:pPr>
      <w:r>
        <w:t>Pilot recruitment, baseline tools, and the evidence required to continue investment.</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Constellation Harness Product Strategy and Implementation Plan</dc:title>
  <dc:subject>Focused MVP, positioning, runtime lifecycle and validation gates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