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67DFB5" w14:textId="77777777" w:rsidR="00525420" w:rsidRDefault="00525420"/>
    <w:p w14:paraId="7EC0329A" w14:textId="77777777" w:rsidR="00525420" w:rsidRDefault="00107E70">
      <w:pPr>
        <w:pStyle w:val="Heading1"/>
        <w:spacing w:beforeAutospacing="0" w:afterAutospacing="0" w:line="390" w:lineRule="atLeast"/>
        <w:rPr>
          <w:rFonts w:hint="default"/>
          <w:color w:val="0D0D0D"/>
          <w:sz w:val="30"/>
          <w:szCs w:val="30"/>
        </w:rPr>
      </w:pPr>
      <w:r>
        <w:rPr>
          <w:color w:val="0D0D0D"/>
          <w:sz w:val="30"/>
          <w:szCs w:val="30"/>
          <w:bdr w:val="single" w:sz="2" w:space="0" w:color="auto"/>
          <w:shd w:val="clear" w:color="auto" w:fill="FCFCFC"/>
        </w:rPr>
        <w:t>Phase 10: Automation, Trends &amp; Final Strategy</w:t>
      </w:r>
    </w:p>
    <w:p w14:paraId="4434BB5F" w14:textId="77777777" w:rsidR="00525420" w:rsidRDefault="00107E70">
      <w:pPr>
        <w:pStyle w:val="NormalWeb"/>
        <w:spacing w:line="390" w:lineRule="atLeast"/>
        <w:rPr>
          <w:color w:val="5D5D5D"/>
          <w:sz w:val="21"/>
          <w:szCs w:val="21"/>
        </w:rPr>
      </w:pPr>
      <w:r>
        <w:rPr>
          <w:rFonts w:ascii="Segoe UI" w:eastAsia="Segoe UI" w:hAnsi="Segoe UI" w:cs="Segoe UI"/>
          <w:color w:val="5D5D5D"/>
          <w:sz w:val="21"/>
          <w:szCs w:val="21"/>
          <w:bdr w:val="single" w:sz="2" w:space="0" w:color="auto"/>
          <w:shd w:val="clear" w:color="auto" w:fill="FCFCFC"/>
        </w:rPr>
        <w:t xml:space="preserve">Weeks </w:t>
      </w:r>
      <w:r>
        <w:rPr>
          <w:rFonts w:ascii="Segoe UI" w:eastAsia="Segoe UI" w:hAnsi="Segoe UI" w:cs="Segoe UI"/>
          <w:color w:val="5D5D5D"/>
          <w:sz w:val="21"/>
          <w:szCs w:val="21"/>
          <w:bdr w:val="single" w:sz="2" w:space="0" w:color="auto"/>
          <w:shd w:val="clear" w:color="auto" w:fill="FCFCFC"/>
        </w:rPr>
        <w:t>14–15 · Assessment 6 (20%)</w:t>
      </w:r>
    </w:p>
    <w:p w14:paraId="349D7BB8" w14:textId="77777777" w:rsidR="00525420" w:rsidRDefault="00107E7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bdr w:val="single" w:sz="2" w:space="0" w:color="auto"/>
          <w:shd w:val="clear" w:color="auto" w:fill="FCFCFC"/>
        </w:rPr>
        <w:t>Your Phase 10 deliverables are ready. They cover the nightly data-quality scorecard, retention automation, trend monitoring, error handling, and recommendations for the final</w:t>
      </w:r>
      <w:r>
        <w:rPr>
          <w:rFonts w:ascii="Segoe UI" w:eastAsia="Segoe UI" w:hAnsi="Segoe UI" w:cs="Segoe UI"/>
          <w:color w:val="0D0D0D"/>
          <w:bdr w:val="single" w:sz="2" w:space="0" w:color="auto"/>
          <w:shd w:val="clear" w:color="auto" w:fill="FCFCFC"/>
        </w:rPr>
        <w:t xml:space="preserve"> healthcare Master Data Management (MDM) strategy.</w:t>
      </w:r>
    </w:p>
    <w:p w14:paraId="3DADE5B5" w14:textId="77777777" w:rsidR="00525420" w:rsidRDefault="00107E70">
      <w:pPr>
        <w:pStyle w:val="Heading2"/>
        <w:spacing w:beforeAutospacing="0" w:afterAutospacing="0" w:line="390" w:lineRule="atLeast"/>
        <w:rPr>
          <w:rFonts w:hint="default"/>
          <w:color w:val="0D0D0D"/>
          <w:sz w:val="27"/>
          <w:szCs w:val="27"/>
        </w:rPr>
      </w:pPr>
      <w:r>
        <w:rPr>
          <w:color w:val="0D0D0D"/>
          <w:sz w:val="27"/>
          <w:szCs w:val="27"/>
          <w:bdr w:val="single" w:sz="2" w:space="0" w:color="auto"/>
          <w:shd w:val="clear" w:color="auto" w:fill="FCFCFC"/>
        </w:rPr>
        <w:t>1. Download your deliverables</w:t>
      </w:r>
    </w:p>
    <w:p w14:paraId="79159037" w14:textId="77777777" w:rsidR="00525420" w:rsidRDefault="00107E7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bdr w:val="single" w:sz="2" w:space="0" w:color="auto"/>
          <w:shd w:val="clear" w:color="auto" w:fill="FCFCFC"/>
        </w:rPr>
        <w:t>Phase 10 Report</w:t>
      </w:r>
    </w:p>
    <w:p w14:paraId="29924A34" w14:textId="77777777" w:rsidR="00525420" w:rsidRDefault="00107E70">
      <w:pPr>
        <w:pStyle w:val="NormalWeb"/>
        <w:spacing w:line="390" w:lineRule="atLeast"/>
        <w:rPr>
          <w:color w:val="5D5D5D"/>
          <w:sz w:val="21"/>
          <w:szCs w:val="21"/>
        </w:rPr>
      </w:pPr>
      <w:r>
        <w:rPr>
          <w:rFonts w:ascii="Segoe UI" w:eastAsia="Segoe UI" w:hAnsi="Segoe UI" w:cs="Segoe UI"/>
          <w:color w:val="5D5D5D"/>
          <w:sz w:val="21"/>
          <w:szCs w:val="21"/>
          <w:bdr w:val="single" w:sz="2" w:space="0" w:color="auto"/>
          <w:shd w:val="clear" w:color="auto" w:fill="FCFCFC"/>
        </w:rPr>
        <w:t>DOCX · Automation workflow, design table, proposed thresholds, trend analysis, final strategy and acceptance evidence.</w:t>
      </w:r>
    </w:p>
    <w:p w14:paraId="29797884" w14:textId="77777777" w:rsidR="00525420" w:rsidRDefault="00107E7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bdr w:val="single" w:sz="2" w:space="0" w:color="auto"/>
          <w:shd w:val="clear" w:color="auto" w:fill="FCFCFC"/>
        </w:rPr>
        <w:t>Download the Phase 10 report</w:t>
      </w:r>
    </w:p>
    <w:p w14:paraId="2CEC448F" w14:textId="77777777" w:rsidR="00525420" w:rsidRDefault="00107E7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bdr w:val="single" w:sz="2" w:space="0" w:color="auto"/>
          <w:shd w:val="clear" w:color="auto" w:fill="FCFCFC"/>
        </w:rPr>
        <w:t xml:space="preserve">DataOps </w:t>
      </w:r>
      <w:r>
        <w:rPr>
          <w:rFonts w:ascii="Segoe UI" w:eastAsia="Segoe UI" w:hAnsi="Segoe UI" w:cs="Segoe UI"/>
          <w:b/>
          <w:bCs/>
          <w:color w:val="0D0D0D"/>
          <w:bdr w:val="single" w:sz="2" w:space="0" w:color="auto"/>
          <w:shd w:val="clear" w:color="auto" w:fill="FCFCFC"/>
        </w:rPr>
        <w:t>Automation SQL</w:t>
      </w:r>
    </w:p>
    <w:p w14:paraId="53F1049A" w14:textId="77777777" w:rsidR="00525420" w:rsidRDefault="00107E70">
      <w:pPr>
        <w:pStyle w:val="NormalWeb"/>
        <w:spacing w:line="390" w:lineRule="atLeast"/>
        <w:rPr>
          <w:color w:val="5D5D5D"/>
          <w:sz w:val="21"/>
          <w:szCs w:val="21"/>
        </w:rPr>
      </w:pPr>
      <w:r>
        <w:rPr>
          <w:rFonts w:ascii="Segoe UI" w:eastAsia="Segoe UI" w:hAnsi="Segoe UI" w:cs="Segoe UI"/>
          <w:color w:val="5D5D5D"/>
          <w:sz w:val="21"/>
          <w:szCs w:val="21"/>
          <w:bdr w:val="single" w:sz="2" w:space="0" w:color="auto"/>
          <w:shd w:val="clear" w:color="auto" w:fill="FCFCFC"/>
        </w:rPr>
        <w:t>SQL · Creates the scorecard log, schedules nightly data-quality logging, demonstrates visit archiving, and provides trend queries.</w:t>
      </w:r>
    </w:p>
    <w:p w14:paraId="58FC7D8D" w14:textId="77777777" w:rsidR="00525420" w:rsidRDefault="00107E7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bdr w:val="single" w:sz="2" w:space="0" w:color="auto"/>
          <w:shd w:val="clear" w:color="auto" w:fill="FCFCFC"/>
        </w:rPr>
        <w:t>Download the SQL script</w:t>
      </w:r>
    </w:p>
    <w:p w14:paraId="68EA19B2" w14:textId="77777777" w:rsidR="00525420" w:rsidRDefault="00107E70">
      <w:pPr>
        <w:pStyle w:val="Heading2"/>
        <w:spacing w:beforeAutospacing="0" w:afterAutospacing="0" w:line="390" w:lineRule="atLeast"/>
        <w:rPr>
          <w:rFonts w:hint="default"/>
          <w:color w:val="0D0D0D"/>
          <w:sz w:val="27"/>
          <w:szCs w:val="27"/>
        </w:rPr>
      </w:pPr>
      <w:r>
        <w:rPr>
          <w:color w:val="0D0D0D"/>
          <w:sz w:val="27"/>
          <w:szCs w:val="27"/>
          <w:bdr w:val="single" w:sz="2" w:space="0" w:color="auto"/>
          <w:shd w:val="clear" w:color="auto" w:fill="FCFCFC"/>
        </w:rPr>
        <w:t>2. How the automation works</w:t>
      </w:r>
    </w:p>
    <w:p w14:paraId="36549684" w14:textId="77777777" w:rsidR="00525420" w:rsidRDefault="00107E7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bdr w:val="single" w:sz="2" w:space="0" w:color="auto"/>
          <w:shd w:val="clear" w:color="auto" w:fill="FCFCFC"/>
        </w:rPr>
        <w:t>1. Nightly data-quality check</w:t>
      </w:r>
    </w:p>
    <w:p w14:paraId="0371FC04" w14:textId="77777777" w:rsidR="00525420" w:rsidRDefault="00107E70">
      <w:pPr>
        <w:pStyle w:val="NormalWeb"/>
        <w:spacing w:line="390" w:lineRule="atLeast"/>
        <w:rPr>
          <w:color w:val="0D0D0D"/>
          <w:sz w:val="21"/>
          <w:szCs w:val="21"/>
        </w:rPr>
      </w:pPr>
      <w:r>
        <w:rPr>
          <w:rFonts w:ascii="Segoe UI" w:eastAsia="Segoe UI" w:hAnsi="Segoe UI" w:cs="Segoe UI"/>
          <w:color w:val="0D0D0D"/>
          <w:sz w:val="21"/>
          <w:szCs w:val="21"/>
          <w:bdr w:val="single" w:sz="2" w:space="0" w:color="auto"/>
          <w:shd w:val="clear" w:color="auto" w:fill="FCFCFC"/>
        </w:rPr>
        <w:t>Read phone validity, DOB com</w:t>
      </w:r>
      <w:r>
        <w:rPr>
          <w:rFonts w:ascii="Segoe UI" w:eastAsia="Segoe UI" w:hAnsi="Segoe UI" w:cs="Segoe UI"/>
          <w:color w:val="0D0D0D"/>
          <w:sz w:val="21"/>
          <w:szCs w:val="21"/>
          <w:bdr w:val="single" w:sz="2" w:space="0" w:color="auto"/>
          <w:shd w:val="clear" w:color="auto" w:fill="FCFCFC"/>
        </w:rPr>
        <w:t xml:space="preserve">pleteness and potential duplicates from </w:t>
      </w:r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v_dq_scorecard</w:t>
      </w:r>
      <w:r>
        <w:rPr>
          <w:rFonts w:ascii="Segoe UI" w:eastAsia="Segoe UI" w:hAnsi="Segoe UI" w:cs="Segoe UI"/>
          <w:color w:val="0D0D0D"/>
          <w:sz w:val="21"/>
          <w:szCs w:val="21"/>
          <w:bdr w:val="single" w:sz="2" w:space="0" w:color="auto"/>
          <w:shd w:val="clear" w:color="auto" w:fill="FCFCFC"/>
        </w:rPr>
        <w:t>.</w:t>
      </w:r>
    </w:p>
    <w:p w14:paraId="58D7639B" w14:textId="77777777" w:rsidR="00525420" w:rsidRDefault="00107E7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bdr w:val="single" w:sz="2" w:space="0" w:color="auto"/>
          <w:shd w:val="clear" w:color="auto" w:fill="FCFCFC"/>
        </w:rPr>
        <w:t>2. Save scorecard history</w:t>
      </w:r>
    </w:p>
    <w:p w14:paraId="55100516" w14:textId="77777777" w:rsidR="00525420" w:rsidRDefault="00107E70">
      <w:pPr>
        <w:pStyle w:val="NormalWeb"/>
        <w:spacing w:line="390" w:lineRule="atLeast"/>
        <w:rPr>
          <w:color w:val="0D0D0D"/>
          <w:sz w:val="21"/>
          <w:szCs w:val="21"/>
        </w:rPr>
      </w:pPr>
      <w:r>
        <w:rPr>
          <w:rFonts w:ascii="Segoe UI" w:eastAsia="Segoe UI" w:hAnsi="Segoe UI" w:cs="Segoe UI"/>
          <w:color w:val="0D0D0D"/>
          <w:sz w:val="21"/>
          <w:szCs w:val="21"/>
          <w:bdr w:val="single" w:sz="2" w:space="0" w:color="auto"/>
          <w:shd w:val="clear" w:color="auto" w:fill="FCFCFC"/>
        </w:rPr>
        <w:t xml:space="preserve">Record metrics in </w:t>
      </w:r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dq_scorecard_log</w:t>
      </w:r>
      <w:r>
        <w:rPr>
          <w:rFonts w:ascii="Segoe UI" w:eastAsia="Segoe UI" w:hAnsi="Segoe UI" w:cs="Segoe UI"/>
          <w:color w:val="0D0D0D"/>
          <w:sz w:val="21"/>
          <w:szCs w:val="21"/>
          <w:bdr w:val="single" w:sz="2" w:space="0" w:color="auto"/>
          <w:shd w:val="clear" w:color="auto" w:fill="FCFCFC"/>
        </w:rPr>
        <w:t>, with one row per date.</w:t>
      </w:r>
    </w:p>
    <w:p w14:paraId="3A0F8F58" w14:textId="77777777" w:rsidR="00525420" w:rsidRDefault="00107E7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bdr w:val="single" w:sz="2" w:space="0" w:color="auto"/>
          <w:shd w:val="clear" w:color="auto" w:fill="FCFCFC"/>
        </w:rPr>
        <w:t>3. Analyse trends</w:t>
      </w:r>
    </w:p>
    <w:p w14:paraId="14B85A7D" w14:textId="77777777" w:rsidR="00525420" w:rsidRDefault="00107E70">
      <w:pPr>
        <w:pStyle w:val="NormalWeb"/>
        <w:spacing w:line="390" w:lineRule="atLeast"/>
        <w:rPr>
          <w:color w:val="0D0D0D"/>
          <w:sz w:val="21"/>
          <w:szCs w:val="21"/>
        </w:rPr>
      </w:pPr>
      <w:r>
        <w:rPr>
          <w:rFonts w:ascii="Segoe UI" w:eastAsia="Segoe UI" w:hAnsi="Segoe UI" w:cs="Segoe UI"/>
          <w:color w:val="0D0D0D"/>
          <w:sz w:val="21"/>
          <w:szCs w:val="21"/>
          <w:bdr w:val="single" w:sz="2" w:space="0" w:color="auto"/>
          <w:shd w:val="clear" w:color="auto" w:fill="FCFCFC"/>
        </w:rPr>
        <w:t>Review recent averages, duplicate trends and deteriorating data quality.</w:t>
      </w:r>
    </w:p>
    <w:p w14:paraId="2968AA98" w14:textId="77777777" w:rsidR="00525420" w:rsidRDefault="00107E7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bdr w:val="single" w:sz="2" w:space="0" w:color="auto"/>
          <w:shd w:val="clear" w:color="auto" w:fill="FCFCFC"/>
        </w:rPr>
        <w:t xml:space="preserve">4. Apply controlled </w:t>
      </w:r>
      <w:r>
        <w:rPr>
          <w:rFonts w:ascii="Segoe UI" w:eastAsia="Segoe UI" w:hAnsi="Segoe UI" w:cs="Segoe UI"/>
          <w:b/>
          <w:bCs/>
          <w:color w:val="0D0D0D"/>
          <w:bdr w:val="single" w:sz="2" w:space="0" w:color="auto"/>
          <w:shd w:val="clear" w:color="auto" w:fill="FCFCFC"/>
        </w:rPr>
        <w:t>lifecycle rules</w:t>
      </w:r>
    </w:p>
    <w:p w14:paraId="2605CA95" w14:textId="77777777" w:rsidR="00525420" w:rsidRDefault="00107E70">
      <w:pPr>
        <w:pStyle w:val="NormalWeb"/>
        <w:spacing w:line="390" w:lineRule="atLeast"/>
        <w:rPr>
          <w:color w:val="0D0D0D"/>
          <w:sz w:val="21"/>
          <w:szCs w:val="21"/>
        </w:rPr>
      </w:pPr>
      <w:r>
        <w:rPr>
          <w:rFonts w:ascii="Segoe UI" w:eastAsia="Segoe UI" w:hAnsi="Segoe UI" w:cs="Segoe UI"/>
          <w:color w:val="0D0D0D"/>
          <w:sz w:val="21"/>
          <w:szCs w:val="21"/>
          <w:bdr w:val="single" w:sz="2" w:space="0" w:color="auto"/>
          <w:shd w:val="clear" w:color="auto" w:fill="FCFCFC"/>
        </w:rPr>
        <w:t>Archive eligible records only after policy, legal-hold and approval checks.</w:t>
      </w:r>
    </w:p>
    <w:p w14:paraId="0FE14BA2" w14:textId="0DBDAA57" w:rsidR="00525420" w:rsidRPr="00107E70" w:rsidRDefault="00107E70" w:rsidP="00107E70">
      <w:pPr>
        <w:pStyle w:val="Heading2"/>
        <w:spacing w:beforeAutospacing="0" w:afterAutospacing="0" w:line="390" w:lineRule="atLeast"/>
        <w:rPr>
          <w:color w:val="0D0D0D"/>
          <w:sz w:val="27"/>
          <w:szCs w:val="27"/>
        </w:rPr>
      </w:pPr>
      <w:r>
        <w:rPr>
          <w:color w:val="0D0D0D"/>
          <w:sz w:val="27"/>
          <w:szCs w:val="27"/>
          <w:bdr w:val="single" w:sz="2" w:space="0" w:color="auto"/>
          <w:shd w:val="clear" w:color="auto" w:fill="FCFCFC"/>
        </w:rPr>
        <w:t>3. Important corrections to your original SQL</w:t>
      </w:r>
    </w:p>
    <w:p w14:paraId="366036F5" w14:textId="3B82387B" w:rsidR="00525420" w:rsidRPr="00107E70" w:rsidRDefault="00107E70" w:rsidP="00107E7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bdr w:val="single" w:sz="2" w:space="0" w:color="auto"/>
          <w:shd w:val="clear" w:color="auto" w:fill="FCFCFC"/>
        </w:rPr>
        <w:t>Scorecard column names: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</w:t>
      </w:r>
      <w:r>
        <w:rPr>
          <w:rFonts w:ascii="Segoe UI" w:eastAsia="Segoe UI" w:hAnsi="Segoe UI" w:cs="Segoe UI"/>
          <w:color w:val="0D0D0D"/>
          <w:bdr w:val="single" w:sz="2" w:space="0" w:color="auto"/>
          <w:shd w:val="clear" w:color="auto" w:fill="FCFCFC"/>
        </w:rPr>
        <w:t xml:space="preserve">Your event uses </w:t>
      </w:r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phone_complete_pct</w:t>
      </w:r>
      <w:r>
        <w:rPr>
          <w:rFonts w:ascii="Segoe UI" w:eastAsia="Segoe UI" w:hAnsi="Segoe UI" w:cs="Segoe UI"/>
          <w:color w:val="0D0D0D"/>
          <w:bdr w:val="single" w:sz="2" w:space="0" w:color="auto"/>
          <w:shd w:val="clear" w:color="auto" w:fill="FCFCFC"/>
        </w:rPr>
        <w:t xml:space="preserve">, </w:t>
      </w:r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dob_complete_pct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</w:t>
      </w:r>
      <w:r>
        <w:rPr>
          <w:rFonts w:ascii="Segoe UI" w:eastAsia="Segoe UI" w:hAnsi="Segoe UI" w:cs="Segoe UI"/>
          <w:color w:val="0D0D0D"/>
          <w:bdr w:val="single" w:sz="2" w:space="0" w:color="auto"/>
          <w:shd w:val="clear" w:color="auto" w:fill="FCFCFC"/>
        </w:rPr>
        <w:t xml:space="preserve">and </w:t>
      </w:r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potential_dupes</w:t>
      </w:r>
      <w:r>
        <w:rPr>
          <w:rFonts w:ascii="Segoe UI" w:eastAsia="Segoe UI" w:hAnsi="Segoe UI" w:cs="Segoe UI"/>
          <w:color w:val="0D0D0D"/>
          <w:bdr w:val="single" w:sz="2" w:space="0" w:color="auto"/>
          <w:shd w:val="clear" w:color="auto" w:fill="FCFCFC"/>
        </w:rPr>
        <w:t xml:space="preserve">. These may not match your Phase 4 view. Run </w:t>
      </w:r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SHOW CREATE VIEW v_dq_scorecard;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</w:t>
      </w:r>
      <w:r>
        <w:rPr>
          <w:rFonts w:ascii="Segoe UI" w:eastAsia="Segoe UI" w:hAnsi="Segoe UI" w:cs="Segoe UI"/>
          <w:color w:val="0D0D0D"/>
          <w:bdr w:val="single" w:sz="2" w:space="0" w:color="auto"/>
          <w:shd w:val="clear" w:color="auto" w:fill="FCFCFC"/>
        </w:rPr>
        <w:t>and adjust the event to the actual column names.</w:t>
      </w:r>
    </w:p>
    <w:p w14:paraId="3FE62565" w14:textId="70D843F8" w:rsidR="00525420" w:rsidRPr="00107E70" w:rsidRDefault="00107E70" w:rsidP="00107E7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bdr w:val="single" w:sz="2" w:space="0" w:color="auto"/>
          <w:shd w:val="clear" w:color="auto" w:fill="FCFCFC"/>
        </w:rPr>
        <w:t>Duplicate daily runs: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</w:t>
      </w:r>
      <w:r>
        <w:rPr>
          <w:rFonts w:ascii="Segoe UI" w:eastAsia="Segoe UI" w:hAnsi="Segoe UI" w:cs="Segoe UI"/>
          <w:color w:val="0D0D0D"/>
          <w:bdr w:val="single" w:sz="2" w:space="0" w:color="auto"/>
          <w:shd w:val="clear" w:color="auto" w:fill="FCFCFC"/>
        </w:rPr>
        <w:t xml:space="preserve">The script uses </w:t>
      </w:r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ON DUPLICATE KEY UPDATE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</w:t>
      </w:r>
      <w:r>
        <w:rPr>
          <w:rFonts w:ascii="Segoe UI" w:eastAsia="Segoe UI" w:hAnsi="Segoe UI" w:cs="Segoe UI"/>
          <w:color w:val="0D0D0D"/>
          <w:bdr w:val="single" w:sz="2" w:space="0" w:color="auto"/>
          <w:shd w:val="clear" w:color="auto" w:fill="FCFCFC"/>
        </w:rPr>
        <w:t>so rerunning the scorecard on the same date does not fail because</w:t>
      </w:r>
      <w:r>
        <w:rPr>
          <w:rFonts w:ascii="Segoe UI" w:eastAsia="Segoe UI" w:hAnsi="Segoe UI" w:cs="Segoe UI"/>
          <w:color w:val="0D0D0D"/>
          <w:bdr w:val="single" w:sz="2" w:space="0" w:color="auto"/>
          <w:shd w:val="clear" w:color="auto" w:fill="FCFCFC"/>
        </w:rPr>
        <w:t xml:space="preserve"> </w:t>
      </w:r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run_date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</w:t>
      </w:r>
      <w:r>
        <w:rPr>
          <w:rFonts w:ascii="Segoe UI" w:eastAsia="Segoe UI" w:hAnsi="Segoe UI" w:cs="Segoe UI"/>
          <w:color w:val="0D0D0D"/>
          <w:bdr w:val="single" w:sz="2" w:space="0" w:color="auto"/>
          <w:shd w:val="clear" w:color="auto" w:fill="FCFCFC"/>
        </w:rPr>
        <w:t>is the primary key.</w:t>
      </w:r>
    </w:p>
    <w:p w14:paraId="4EFD53B2" w14:textId="7C50C481" w:rsidR="00525420" w:rsidRPr="00107E70" w:rsidRDefault="00107E70" w:rsidP="00107E7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bdr w:val="single" w:sz="2" w:space="0" w:color="auto"/>
          <w:shd w:val="clear" w:color="auto" w:fill="FCFCFC"/>
        </w:rPr>
        <w:t>Event scheduler: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</w:t>
      </w:r>
      <w:r>
        <w:rPr>
          <w:rFonts w:ascii="Segoe UI" w:eastAsia="Segoe UI" w:hAnsi="Segoe UI" w:cs="Segoe UI"/>
          <w:color w:val="0D0D0D"/>
          <w:bdr w:val="single" w:sz="2" w:space="0" w:color="auto"/>
          <w:shd w:val="clear" w:color="auto" w:fill="FCFCFC"/>
        </w:rPr>
        <w:t>MySQL's event scheduler must be enabled for scheduled jobs to execute. Verify it before testing.</w:t>
      </w:r>
    </w:p>
    <w:p w14:paraId="76AE49D1" w14:textId="0CA2D151" w:rsidR="00525420" w:rsidRPr="00107E70" w:rsidRDefault="00107E70" w:rsidP="00107E7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bdr w:val="single" w:sz="2" w:space="0" w:color="auto"/>
          <w:shd w:val="clear" w:color="auto" w:fill="FCFCFC"/>
        </w:rPr>
        <w:t>Ten-day archiving: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</w:t>
      </w:r>
      <w:r>
        <w:rPr>
          <w:rFonts w:ascii="Segoe UI" w:eastAsia="Segoe UI" w:hAnsi="Segoe UI" w:cs="Segoe UI"/>
          <w:color w:val="0D0D0D"/>
          <w:bdr w:val="single" w:sz="2" w:space="0" w:color="auto"/>
          <w:shd w:val="clear" w:color="auto" w:fill="FCFCFC"/>
        </w:rPr>
        <w:t xml:space="preserve">This is for demonstration in a development database only. Do not apply it to production </w:t>
      </w:r>
      <w:r>
        <w:rPr>
          <w:rFonts w:ascii="Segoe UI" w:eastAsia="Segoe UI" w:hAnsi="Segoe UI" w:cs="Segoe UI"/>
          <w:color w:val="0D0D0D"/>
          <w:bdr w:val="single" w:sz="2" w:space="0" w:color="auto"/>
          <w:shd w:val="clear" w:color="auto" w:fill="FCFCFC"/>
        </w:rPr>
        <w:t xml:space="preserve">clinical records. </w:t>
      </w:r>
      <w:bookmarkStart w:id="0" w:name="_GoBack"/>
      <w:r>
        <w:rPr>
          <w:rFonts w:ascii="Segoe UI" w:eastAsia="Segoe UI" w:hAnsi="Segoe UI" w:cs="Segoe UI"/>
          <w:color w:val="0D0D0D"/>
          <w:bdr w:val="single" w:sz="2" w:space="0" w:color="auto"/>
          <w:shd w:val="clear" w:color="auto" w:fill="FCFCFC"/>
        </w:rPr>
        <w:t xml:space="preserve">Production lifecycle actions </w:t>
      </w:r>
      <w:r>
        <w:rPr>
          <w:rFonts w:ascii="Segoe UI" w:eastAsia="Segoe UI" w:hAnsi="Segoe UI" w:cs="Segoe UI"/>
          <w:color w:val="0D0D0D"/>
          <w:bdr w:val="single" w:sz="2" w:space="0" w:color="auto"/>
          <w:shd w:val="clear" w:color="auto" w:fill="FCFCFC"/>
        </w:rPr>
        <w:lastRenderedPageBreak/>
        <w:t>must follow the approved retention schedule and applicable legal requirements.</w:t>
      </w:r>
      <w:bookmarkEnd w:id="0"/>
    </w:p>
    <w:p w14:paraId="099EA504" w14:textId="0C218CAD" w:rsidR="00525420" w:rsidRPr="00107E70" w:rsidRDefault="00107E70" w:rsidP="00107E7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bdr w:val="single" w:sz="2" w:space="0" w:color="auto"/>
          <w:shd w:val="clear" w:color="auto" w:fill="FCFCFC"/>
        </w:rPr>
        <w:t>Archiving versus deletion: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</w:t>
      </w:r>
      <w:r>
        <w:rPr>
          <w:rFonts w:ascii="Segoe UI" w:eastAsia="Segoe UI" w:hAnsi="Segoe UI" w:cs="Segoe UI"/>
          <w:color w:val="0D0D0D"/>
          <w:bdr w:val="single" w:sz="2" w:space="0" w:color="auto"/>
          <w:shd w:val="clear" w:color="auto" w:fill="FCFCFC"/>
        </w:rPr>
        <w:t xml:space="preserve">Setting a visit to </w:t>
      </w:r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ARCHIVED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</w:t>
      </w:r>
      <w:r>
        <w:rPr>
          <w:rFonts w:ascii="Segoe UI" w:eastAsia="Segoe UI" w:hAnsi="Segoe UI" w:cs="Segoe UI"/>
          <w:color w:val="0D0D0D"/>
          <w:bdr w:val="single" w:sz="2" w:space="0" w:color="auto"/>
          <w:shd w:val="clear" w:color="auto" w:fill="FCFCFC"/>
        </w:rPr>
        <w:t>does not physically delete it. Any eventual disposal needs a separate app</w:t>
      </w:r>
      <w:r>
        <w:rPr>
          <w:rFonts w:ascii="Segoe UI" w:eastAsia="Segoe UI" w:hAnsi="Segoe UI" w:cs="Segoe UI"/>
          <w:color w:val="0D0D0D"/>
          <w:bdr w:val="single" w:sz="2" w:space="0" w:color="auto"/>
          <w:shd w:val="clear" w:color="auto" w:fill="FCFCFC"/>
        </w:rPr>
        <w:t>roved process.</w:t>
      </w:r>
    </w:p>
    <w:p w14:paraId="4E098609" w14:textId="77777777" w:rsidR="00525420" w:rsidRDefault="00107E70">
      <w:pPr>
        <w:pStyle w:val="Heading2"/>
        <w:spacing w:beforeAutospacing="0" w:afterAutospacing="0" w:line="390" w:lineRule="atLeast"/>
        <w:rPr>
          <w:rFonts w:hint="default"/>
          <w:color w:val="0D0D0D"/>
          <w:sz w:val="27"/>
          <w:szCs w:val="27"/>
        </w:rPr>
      </w:pPr>
      <w:r>
        <w:rPr>
          <w:color w:val="0D0D0D"/>
          <w:sz w:val="27"/>
          <w:szCs w:val="27"/>
          <w:bdr w:val="single" w:sz="2" w:space="0" w:color="auto"/>
          <w:shd w:val="clear" w:color="auto" w:fill="FCFCFC"/>
        </w:rPr>
        <w:t>4</w:t>
      </w:r>
      <w:r>
        <w:rPr>
          <w:color w:val="0D0D0D"/>
          <w:sz w:val="27"/>
          <w:szCs w:val="27"/>
          <w:bdr w:val="single" w:sz="2" w:space="0" w:color="auto"/>
          <w:shd w:val="clear" w:color="auto" w:fill="FCFCFC"/>
        </w:rPr>
        <w:t>. Evidence to submit</w:t>
      </w:r>
    </w:p>
    <w:p w14:paraId="6082C3D4" w14:textId="503B4060" w:rsidR="00525420" w:rsidRPr="00107E70" w:rsidRDefault="00107E70" w:rsidP="00107E7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bdr w:val="single" w:sz="2" w:space="0" w:color="auto"/>
          <w:shd w:val="clear" w:color="auto" w:fill="FCFCFC"/>
        </w:rPr>
        <w:t>Before submitting Assessment 6, collect:</w:t>
      </w:r>
    </w:p>
    <w:p w14:paraId="2AA210BA" w14:textId="381672B4" w:rsidR="00525420" w:rsidRPr="00107E70" w:rsidRDefault="00107E70" w:rsidP="00107E7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bdr w:val="single" w:sz="2" w:space="0" w:color="auto"/>
          <w:shd w:val="clear" w:color="auto" w:fill="FCFCFC"/>
        </w:rPr>
        <w:t xml:space="preserve">A screenshot showing the MySQL event scheduler status and </w:t>
      </w:r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SHOW EVENTS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</w:t>
      </w:r>
      <w:r>
        <w:rPr>
          <w:rFonts w:ascii="Segoe UI" w:eastAsia="Segoe UI" w:hAnsi="Segoe UI" w:cs="Segoe UI"/>
          <w:color w:val="0D0D0D"/>
          <w:bdr w:val="single" w:sz="2" w:space="0" w:color="auto"/>
          <w:shd w:val="clear" w:color="auto" w:fill="FCFCFC"/>
        </w:rPr>
        <w:t>output.</w:t>
      </w:r>
    </w:p>
    <w:p w14:paraId="60CCAA6E" w14:textId="4085B9AC" w:rsidR="00525420" w:rsidRPr="00107E70" w:rsidRDefault="00107E70" w:rsidP="00107E7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bdr w:val="single" w:sz="2" w:space="0" w:color="auto"/>
          <w:shd w:val="clear" w:color="auto" w:fill="FCFCFC"/>
        </w:rPr>
        <w:t xml:space="preserve">A query result showing at least one recorded row in </w:t>
      </w:r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dq_scorecard_log</w:t>
      </w:r>
      <w:r>
        <w:rPr>
          <w:rFonts w:ascii="Segoe UI" w:eastAsia="Segoe UI" w:hAnsi="Segoe UI" w:cs="Segoe UI"/>
          <w:color w:val="0D0D0D"/>
          <w:bdr w:val="single" w:sz="2" w:space="0" w:color="auto"/>
          <w:shd w:val="clear" w:color="auto" w:fill="FCFCFC"/>
        </w:rPr>
        <w:t>.</w:t>
      </w:r>
    </w:p>
    <w:p w14:paraId="36D767DE" w14:textId="620DF8E5" w:rsidR="00525420" w:rsidRPr="00107E70" w:rsidRDefault="00107E70" w:rsidP="00107E7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bdr w:val="single" w:sz="2" w:space="0" w:color="auto"/>
          <w:shd w:val="clear" w:color="auto" w:fill="FCFCFC"/>
        </w:rPr>
        <w:t xml:space="preserve">Trend-query results </w:t>
      </w:r>
      <w:r>
        <w:rPr>
          <w:rFonts w:ascii="Segoe UI" w:eastAsia="Segoe UI" w:hAnsi="Segoe UI" w:cs="Segoe UI"/>
          <w:color w:val="0D0D0D"/>
          <w:bdr w:val="single" w:sz="2" w:space="0" w:color="auto"/>
          <w:shd w:val="clear" w:color="auto" w:fill="FCFCFC"/>
        </w:rPr>
        <w:t>based on the days actually recorded.</w:t>
      </w:r>
    </w:p>
    <w:p w14:paraId="2D77DEC5" w14:textId="67E7CF54" w:rsidR="00525420" w:rsidRPr="00107E70" w:rsidRDefault="00107E70" w:rsidP="00107E7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bdr w:val="single" w:sz="2" w:space="0" w:color="auto"/>
          <w:shd w:val="clear" w:color="auto" w:fill="FCFCFC"/>
        </w:rPr>
        <w:t>A development-database test of the archive event, including the number of rows affected.</w:t>
      </w:r>
    </w:p>
    <w:p w14:paraId="526E20AF" w14:textId="4309C898" w:rsidR="00525420" w:rsidRPr="00107E70" w:rsidRDefault="00107E70" w:rsidP="00107E7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bdr w:val="single" w:sz="2" w:space="0" w:color="auto"/>
          <w:shd w:val="clear" w:color="auto" w:fill="FCFCFC"/>
        </w:rPr>
        <w:t>A short record of data-quality exceptions, responsible owners, corrective actions and sign-off.</w:t>
      </w:r>
    </w:p>
    <w:p w14:paraId="295E62FF" w14:textId="77777777" w:rsidR="00525420" w:rsidRDefault="00107E70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bdr w:val="single" w:sz="2" w:space="0" w:color="auto"/>
          <w:shd w:val="clear" w:color="auto" w:fill="FCFCFC"/>
        </w:rPr>
        <w:t>N</w:t>
      </w:r>
      <w:r>
        <w:rPr>
          <w:rFonts w:ascii="Segoe UI" w:eastAsia="Segoe UI" w:hAnsi="Segoe UI" w:cs="Segoe UI"/>
          <w:b/>
          <w:bCs/>
          <w:color w:val="0D0D0D"/>
          <w:bdr w:val="single" w:sz="2" w:space="0" w:color="auto"/>
          <w:shd w:val="clear" w:color="auto" w:fill="FCFCFC"/>
        </w:rPr>
        <w:t>ote: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</w:t>
      </w:r>
      <w:r>
        <w:rPr>
          <w:rFonts w:ascii="Segoe UI" w:eastAsia="Segoe UI" w:hAnsi="Segoe UI" w:cs="Segoe UI"/>
          <w:color w:val="0D0D0D"/>
          <w:bdr w:val="single" w:sz="2" w:space="0" w:color="auto"/>
          <w:shd w:val="clear" w:color="auto" w:fill="FCFCFC"/>
        </w:rPr>
        <w:t xml:space="preserve">The documents and SQL </w:t>
      </w:r>
      <w:r>
        <w:rPr>
          <w:rFonts w:ascii="Segoe UI" w:eastAsia="Segoe UI" w:hAnsi="Segoe UI" w:cs="Segoe UI"/>
          <w:color w:val="0D0D0D"/>
          <w:bdr w:val="single" w:sz="2" w:space="0" w:color="auto"/>
          <w:shd w:val="clear" w:color="auto" w:fill="FCFCFC"/>
        </w:rPr>
        <w:t>script are prepared, but the automation has not been executed against your database. Actual metric values and successful test results must be captured from your environment</w:t>
      </w:r>
    </w:p>
    <w:p w14:paraId="41DCE765" w14:textId="77777777" w:rsidR="00525420" w:rsidRDefault="00525420"/>
    <w:sectPr w:rsidR="0052542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820595E3"/>
    <w:multiLevelType w:val="multilevel"/>
    <w:tmpl w:val="820595E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E48BC395"/>
    <w:multiLevelType w:val="multilevel"/>
    <w:tmpl w:val="E48BC39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C8074B"/>
    <w:rsid w:val="00107E70"/>
    <w:rsid w:val="00525420"/>
    <w:rsid w:val="0CA81750"/>
    <w:rsid w:val="1EA8395A"/>
    <w:rsid w:val="1F1C0096"/>
    <w:rsid w:val="69557DDE"/>
    <w:rsid w:val="6BC8074B"/>
    <w:rsid w:val="6CCD168F"/>
    <w:rsid w:val="70BA6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C80006C5-6E14-4D55-B4B0-5AC9EC9AB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399</Words>
  <Characters>2279</Characters>
  <Application>Microsoft Office Word</Application>
  <DocSecurity>0</DocSecurity>
  <Lines>18</Lines>
  <Paragraphs>5</Paragraphs>
  <ScaleCrop>false</ScaleCrop>
  <Company/>
  <LinksUpToDate>false</LinksUpToDate>
  <CharactersWithSpaces>2673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Charles Moses</dc:creator>
  <cp:lastModifiedBy>DELL 3350</cp:lastModifiedBy>
  <cp:revision>2</cp:revision>
  <dcterms:created xsi:type="dcterms:W3CDTF">2026-10-09T18:20:00Z</dcterms:created>
  <dcterms:modified xsi:type="dcterms:W3CDTF">2026-10-10T11:34:00Z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8D5DE030486D47AE94F82B0EADD0A339_13</vt:lpwstr>
  </property>
  <property fmtid="{D5CDD505-2E9C-101B-9397-08002B2CF9AE}" pid="4" name="KSOTemplateDocerSaveRecord">
    <vt:lpwstr>eyJoZGlkIjoiNzM3M2MzMzNjZjBiN2RhYzU2ZWU4Mzg2ZDc3OGY5ODciLCJ1c2VySWQiOiIxNTEzNjE0NzMwOTM2OSJ9</vt:lpwstr>
  </property>
</Properties>
</file>