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E819A6" w14:textId="77777777" w:rsidR="009A4008" w:rsidRPr="009A4008" w:rsidRDefault="009A4008" w:rsidP="009A4008">
      <w:pPr>
        <w:spacing w:before="1800"/>
        <w:jc w:val="center"/>
        <w:rPr>
          <w:rFonts w:ascii="Times New Roman" w:hAnsi="Times New Roman" w:cs="Times New Roman"/>
          <w:sz w:val="22"/>
          <w:szCs w:val="22"/>
        </w:rPr>
      </w:pPr>
      <w:r w:rsidRPr="009A4008">
        <w:rPr>
          <w:rFonts w:ascii="Times New Roman" w:hAnsi="Times New Roman" w:cs="Times New Roman"/>
          <w:b/>
          <w:sz w:val="22"/>
          <w:szCs w:val="22"/>
        </w:rPr>
        <w:t>MEDILINK HEALTH NETWORK</w:t>
      </w:r>
    </w:p>
    <w:p w14:paraId="4E2CE3F9" w14:textId="77777777" w:rsidR="009A4008" w:rsidRPr="009A4008" w:rsidRDefault="009A4008" w:rsidP="009A4008">
      <w:pPr>
        <w:jc w:val="center"/>
        <w:rPr>
          <w:rFonts w:ascii="Times New Roman" w:hAnsi="Times New Roman" w:cs="Times New Roman"/>
          <w:sz w:val="22"/>
          <w:szCs w:val="22"/>
        </w:rPr>
      </w:pPr>
      <w:r w:rsidRPr="009A4008">
        <w:rPr>
          <w:rFonts w:ascii="Times New Roman" w:hAnsi="Times New Roman" w:cs="Times New Roman"/>
          <w:b/>
          <w:sz w:val="22"/>
          <w:szCs w:val="22"/>
        </w:rPr>
        <w:t>INTEGRATED ENTERPRISE DATA MANAGEMENT STRATEGY</w:t>
      </w:r>
    </w:p>
    <w:p w14:paraId="2B32AC2A" w14:textId="77777777" w:rsidR="009A4008" w:rsidRPr="009A4008" w:rsidRDefault="009A4008" w:rsidP="009A4008">
      <w:pPr>
        <w:spacing w:before="400"/>
        <w:jc w:val="center"/>
        <w:rPr>
          <w:rFonts w:ascii="Times New Roman" w:hAnsi="Times New Roman" w:cs="Times New Roman"/>
          <w:sz w:val="22"/>
          <w:szCs w:val="22"/>
        </w:rPr>
      </w:pPr>
      <w:r w:rsidRPr="009A4008">
        <w:rPr>
          <w:rFonts w:ascii="Times New Roman" w:hAnsi="Times New Roman" w:cs="Times New Roman"/>
          <w:sz w:val="22"/>
          <w:szCs w:val="22"/>
        </w:rPr>
        <w:t>Enterprise Data Platform Capstone Project</w:t>
      </w:r>
    </w:p>
    <w:p w14:paraId="52037F87"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Course: Enterprise Data Management</w:t>
      </w:r>
    </w:p>
    <w:p w14:paraId="6B4047B1"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Programme: Bachelor of Information Technology</w:t>
      </w:r>
    </w:p>
    <w:p w14:paraId="1C0B2F7D"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Institution: Kampala International University</w:t>
      </w:r>
    </w:p>
    <w:p w14:paraId="74298E52"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noProof/>
          <w:sz w:val="22"/>
          <w:szCs w:val="22"/>
          <w:lang w:eastAsia="en-US"/>
        </w:rPr>
        <w:drawing>
          <wp:inline distT="0" distB="0" distL="0" distR="0" wp14:anchorId="5F1E7B50" wp14:editId="2F6DA825">
            <wp:extent cx="1807845" cy="685800"/>
            <wp:effectExtent l="0" t="0" r="1905" b="0"/>
            <wp:docPr id="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1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822332" cy="691230"/>
                    </a:xfrm>
                    <a:prstGeom prst="rect">
                      <a:avLst/>
                    </a:prstGeom>
                  </pic:spPr>
                </pic:pic>
              </a:graphicData>
            </a:graphic>
          </wp:inline>
        </w:drawing>
      </w:r>
    </w:p>
    <w:p w14:paraId="7945DDAA"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Group members</w:t>
      </w:r>
    </w:p>
    <w:tbl>
      <w:tblPr>
        <w:tblW w:w="7021" w:type="dxa"/>
        <w:jc w:val="center"/>
        <w:tblLook w:val="04A0" w:firstRow="1" w:lastRow="0" w:firstColumn="1" w:lastColumn="0" w:noHBand="0" w:noVBand="1"/>
      </w:tblPr>
      <w:tblGrid>
        <w:gridCol w:w="559"/>
        <w:gridCol w:w="2785"/>
        <w:gridCol w:w="1841"/>
        <w:gridCol w:w="1836"/>
      </w:tblGrid>
      <w:tr w:rsidR="009A4008" w:rsidRPr="009A4008" w14:paraId="5E0B1EC4" w14:textId="77777777" w:rsidTr="00B6247C">
        <w:trPr>
          <w:trHeight w:val="290"/>
          <w:jc w:val="center"/>
        </w:trPr>
        <w:tc>
          <w:tcPr>
            <w:tcW w:w="70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55C8F5" w14:textId="77777777" w:rsidR="009A4008" w:rsidRPr="009A4008" w:rsidRDefault="009A4008" w:rsidP="00B6247C">
            <w:pPr>
              <w:jc w:val="cente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Group 2</w:t>
            </w:r>
          </w:p>
        </w:tc>
      </w:tr>
      <w:tr w:rsidR="009A4008" w:rsidRPr="009A4008" w14:paraId="2991AB6D" w14:textId="77777777" w:rsidTr="00B6247C">
        <w:trPr>
          <w:trHeight w:val="290"/>
          <w:jc w:val="center"/>
        </w:trPr>
        <w:tc>
          <w:tcPr>
            <w:tcW w:w="553" w:type="dxa"/>
            <w:tcBorders>
              <w:top w:val="nil"/>
              <w:left w:val="single" w:sz="4" w:space="0" w:color="auto"/>
              <w:bottom w:val="single" w:sz="4" w:space="0" w:color="auto"/>
              <w:right w:val="single" w:sz="4" w:space="0" w:color="auto"/>
            </w:tcBorders>
            <w:shd w:val="clear" w:color="auto" w:fill="auto"/>
            <w:noWrap/>
            <w:vAlign w:val="bottom"/>
            <w:hideMark/>
          </w:tcPr>
          <w:p w14:paraId="6BA83525"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S/N</w:t>
            </w:r>
          </w:p>
        </w:tc>
        <w:tc>
          <w:tcPr>
            <w:tcW w:w="2785" w:type="dxa"/>
            <w:tcBorders>
              <w:top w:val="nil"/>
              <w:left w:val="nil"/>
              <w:bottom w:val="single" w:sz="4" w:space="0" w:color="auto"/>
              <w:right w:val="single" w:sz="4" w:space="0" w:color="auto"/>
            </w:tcBorders>
            <w:shd w:val="clear" w:color="auto" w:fill="auto"/>
            <w:noWrap/>
            <w:vAlign w:val="bottom"/>
            <w:hideMark/>
          </w:tcPr>
          <w:p w14:paraId="2F0BB485"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Name</w:t>
            </w:r>
          </w:p>
        </w:tc>
        <w:tc>
          <w:tcPr>
            <w:tcW w:w="1841" w:type="dxa"/>
            <w:tcBorders>
              <w:top w:val="nil"/>
              <w:left w:val="nil"/>
              <w:bottom w:val="single" w:sz="4" w:space="0" w:color="auto"/>
              <w:right w:val="single" w:sz="4" w:space="0" w:color="auto"/>
            </w:tcBorders>
            <w:shd w:val="clear" w:color="auto" w:fill="auto"/>
            <w:noWrap/>
            <w:vAlign w:val="bottom"/>
            <w:hideMark/>
          </w:tcPr>
          <w:p w14:paraId="6F191154" w14:textId="77777777" w:rsidR="009A4008" w:rsidRPr="009A4008" w:rsidRDefault="009A4008" w:rsidP="00B6247C">
            <w:pPr>
              <w:rPr>
                <w:rFonts w:ascii="Times New Roman" w:hAnsi="Times New Roman" w:cs="Times New Roman"/>
                <w:b/>
                <w:bCs/>
                <w:color w:val="000000"/>
                <w:sz w:val="22"/>
                <w:szCs w:val="22"/>
              </w:rPr>
            </w:pPr>
            <w:r w:rsidRPr="009A4008">
              <w:rPr>
                <w:rFonts w:ascii="Times New Roman" w:hAnsi="Times New Roman" w:cs="Times New Roman"/>
                <w:b/>
                <w:bCs/>
                <w:color w:val="000000"/>
                <w:sz w:val="22"/>
                <w:szCs w:val="22"/>
              </w:rPr>
              <w:t>Registration No.</w:t>
            </w:r>
          </w:p>
        </w:tc>
        <w:tc>
          <w:tcPr>
            <w:tcW w:w="1841" w:type="dxa"/>
            <w:tcBorders>
              <w:top w:val="nil"/>
              <w:left w:val="nil"/>
              <w:bottom w:val="single" w:sz="4" w:space="0" w:color="auto"/>
              <w:right w:val="single" w:sz="4" w:space="0" w:color="auto"/>
            </w:tcBorders>
          </w:tcPr>
          <w:p w14:paraId="2FBABA81" w14:textId="77777777" w:rsidR="009A4008" w:rsidRPr="009A4008" w:rsidRDefault="009A4008" w:rsidP="00B6247C">
            <w:pPr>
              <w:rPr>
                <w:rFonts w:ascii="Times New Roman" w:hAnsi="Times New Roman" w:cs="Times New Roman"/>
                <w:b/>
                <w:bCs/>
                <w:color w:val="000000"/>
                <w:sz w:val="22"/>
                <w:szCs w:val="22"/>
              </w:rPr>
            </w:pPr>
          </w:p>
        </w:tc>
      </w:tr>
      <w:tr w:rsidR="009A4008" w:rsidRPr="009A4008" w14:paraId="3FB55237" w14:textId="77777777" w:rsidTr="00B6247C">
        <w:trPr>
          <w:trHeight w:val="300"/>
          <w:jc w:val="center"/>
        </w:trPr>
        <w:tc>
          <w:tcPr>
            <w:tcW w:w="553" w:type="dxa"/>
            <w:tcBorders>
              <w:top w:val="nil"/>
              <w:left w:val="single" w:sz="4" w:space="0" w:color="auto"/>
              <w:bottom w:val="single" w:sz="4" w:space="0" w:color="auto"/>
              <w:right w:val="single" w:sz="4" w:space="0" w:color="auto"/>
            </w:tcBorders>
            <w:shd w:val="clear" w:color="auto" w:fill="auto"/>
            <w:noWrap/>
            <w:vAlign w:val="bottom"/>
            <w:hideMark/>
          </w:tcPr>
          <w:p w14:paraId="546A2FCA"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1</w:t>
            </w:r>
          </w:p>
        </w:tc>
        <w:tc>
          <w:tcPr>
            <w:tcW w:w="2785" w:type="dxa"/>
            <w:tcBorders>
              <w:top w:val="nil"/>
              <w:left w:val="nil"/>
              <w:bottom w:val="single" w:sz="4" w:space="0" w:color="auto"/>
              <w:right w:val="single" w:sz="4" w:space="0" w:color="auto"/>
            </w:tcBorders>
            <w:shd w:val="clear" w:color="auto" w:fill="auto"/>
            <w:noWrap/>
            <w:vAlign w:val="bottom"/>
            <w:hideMark/>
          </w:tcPr>
          <w:p w14:paraId="08B84542" w14:textId="3A57345D"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KABUGO JACKSON</w:t>
            </w:r>
          </w:p>
        </w:tc>
        <w:tc>
          <w:tcPr>
            <w:tcW w:w="1841" w:type="dxa"/>
            <w:tcBorders>
              <w:top w:val="nil"/>
              <w:left w:val="nil"/>
              <w:bottom w:val="single" w:sz="4" w:space="0" w:color="auto"/>
              <w:right w:val="single" w:sz="4" w:space="0" w:color="auto"/>
            </w:tcBorders>
            <w:shd w:val="clear" w:color="auto" w:fill="auto"/>
            <w:noWrap/>
            <w:vAlign w:val="bottom"/>
            <w:hideMark/>
          </w:tcPr>
          <w:p w14:paraId="2045A588" w14:textId="6AF05504"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2024-08-31061</w:t>
            </w:r>
          </w:p>
        </w:tc>
        <w:tc>
          <w:tcPr>
            <w:tcW w:w="1841" w:type="dxa"/>
            <w:tcBorders>
              <w:top w:val="nil"/>
              <w:left w:val="nil"/>
              <w:bottom w:val="single" w:sz="4" w:space="0" w:color="auto"/>
              <w:right w:val="single" w:sz="4" w:space="0" w:color="auto"/>
            </w:tcBorders>
          </w:tcPr>
          <w:p w14:paraId="2AEC20DC" w14:textId="77777777" w:rsidR="009A4008" w:rsidRPr="009A4008" w:rsidRDefault="009A4008" w:rsidP="00B6247C">
            <w:pPr>
              <w:rPr>
                <w:rFonts w:ascii="Times New Roman" w:hAnsi="Times New Roman" w:cs="Times New Roman"/>
                <w:color w:val="000000"/>
                <w:sz w:val="22"/>
                <w:szCs w:val="22"/>
              </w:rPr>
            </w:pPr>
          </w:p>
        </w:tc>
      </w:tr>
      <w:tr w:rsidR="009A4008" w:rsidRPr="009A4008" w14:paraId="5D3F72EB" w14:textId="77777777" w:rsidTr="00B6247C">
        <w:trPr>
          <w:trHeight w:val="290"/>
          <w:jc w:val="center"/>
        </w:trPr>
        <w:tc>
          <w:tcPr>
            <w:tcW w:w="553" w:type="dxa"/>
            <w:tcBorders>
              <w:top w:val="nil"/>
              <w:left w:val="single" w:sz="4" w:space="0" w:color="auto"/>
              <w:bottom w:val="single" w:sz="4" w:space="0" w:color="auto"/>
              <w:right w:val="single" w:sz="4" w:space="0" w:color="auto"/>
            </w:tcBorders>
            <w:shd w:val="clear" w:color="auto" w:fill="auto"/>
            <w:noWrap/>
            <w:vAlign w:val="bottom"/>
            <w:hideMark/>
          </w:tcPr>
          <w:p w14:paraId="2A1FED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2</w:t>
            </w:r>
          </w:p>
        </w:tc>
        <w:tc>
          <w:tcPr>
            <w:tcW w:w="2785" w:type="dxa"/>
            <w:tcBorders>
              <w:top w:val="nil"/>
              <w:left w:val="nil"/>
              <w:bottom w:val="single" w:sz="4" w:space="0" w:color="auto"/>
              <w:right w:val="single" w:sz="4" w:space="0" w:color="auto"/>
            </w:tcBorders>
            <w:shd w:val="clear" w:color="auto" w:fill="auto"/>
            <w:noWrap/>
            <w:vAlign w:val="bottom"/>
            <w:hideMark/>
          </w:tcPr>
          <w:p w14:paraId="25F8B203" w14:textId="4393D88A"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SSENYONDO ERNEST</w:t>
            </w:r>
          </w:p>
        </w:tc>
        <w:tc>
          <w:tcPr>
            <w:tcW w:w="1841" w:type="dxa"/>
            <w:tcBorders>
              <w:top w:val="nil"/>
              <w:left w:val="nil"/>
              <w:bottom w:val="single" w:sz="4" w:space="0" w:color="auto"/>
              <w:right w:val="single" w:sz="4" w:space="0" w:color="auto"/>
            </w:tcBorders>
            <w:shd w:val="clear" w:color="auto" w:fill="auto"/>
            <w:noWrap/>
            <w:vAlign w:val="bottom"/>
            <w:hideMark/>
          </w:tcPr>
          <w:p w14:paraId="50D1E70B" w14:textId="4BC07E9B"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2024-08-30372</w:t>
            </w:r>
          </w:p>
        </w:tc>
        <w:tc>
          <w:tcPr>
            <w:tcW w:w="1841" w:type="dxa"/>
            <w:tcBorders>
              <w:top w:val="nil"/>
              <w:left w:val="nil"/>
              <w:bottom w:val="single" w:sz="4" w:space="0" w:color="auto"/>
              <w:right w:val="single" w:sz="4" w:space="0" w:color="auto"/>
            </w:tcBorders>
          </w:tcPr>
          <w:p w14:paraId="1F99758D" w14:textId="77777777" w:rsidR="009A4008" w:rsidRPr="009A4008" w:rsidRDefault="009A4008" w:rsidP="00B6247C">
            <w:pPr>
              <w:rPr>
                <w:rFonts w:ascii="Times New Roman" w:hAnsi="Times New Roman" w:cs="Times New Roman"/>
                <w:color w:val="000000"/>
                <w:sz w:val="22"/>
                <w:szCs w:val="22"/>
              </w:rPr>
            </w:pPr>
          </w:p>
        </w:tc>
      </w:tr>
      <w:tr w:rsidR="009A4008" w:rsidRPr="009A4008" w14:paraId="3261AD3C" w14:textId="77777777" w:rsidTr="00B6247C">
        <w:trPr>
          <w:trHeight w:val="290"/>
          <w:jc w:val="center"/>
        </w:trPr>
        <w:tc>
          <w:tcPr>
            <w:tcW w:w="553" w:type="dxa"/>
            <w:tcBorders>
              <w:top w:val="nil"/>
              <w:left w:val="single" w:sz="4" w:space="0" w:color="auto"/>
              <w:bottom w:val="single" w:sz="4" w:space="0" w:color="auto"/>
              <w:right w:val="single" w:sz="4" w:space="0" w:color="auto"/>
            </w:tcBorders>
            <w:shd w:val="clear" w:color="auto" w:fill="auto"/>
            <w:noWrap/>
            <w:vAlign w:val="bottom"/>
            <w:hideMark/>
          </w:tcPr>
          <w:p w14:paraId="66289343"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3</w:t>
            </w:r>
          </w:p>
        </w:tc>
        <w:tc>
          <w:tcPr>
            <w:tcW w:w="2785" w:type="dxa"/>
            <w:tcBorders>
              <w:top w:val="nil"/>
              <w:left w:val="nil"/>
              <w:bottom w:val="single" w:sz="4" w:space="0" w:color="auto"/>
              <w:right w:val="single" w:sz="4" w:space="0" w:color="auto"/>
            </w:tcBorders>
            <w:shd w:val="clear" w:color="auto" w:fill="auto"/>
            <w:noWrap/>
            <w:vAlign w:val="bottom"/>
            <w:hideMark/>
          </w:tcPr>
          <w:p w14:paraId="3DA64EC7" w14:textId="6C2C0B84"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NAKANWAGI SHARIFAH</w:t>
            </w:r>
          </w:p>
        </w:tc>
        <w:tc>
          <w:tcPr>
            <w:tcW w:w="1841" w:type="dxa"/>
            <w:tcBorders>
              <w:top w:val="nil"/>
              <w:left w:val="nil"/>
              <w:bottom w:val="single" w:sz="4" w:space="0" w:color="auto"/>
              <w:right w:val="single" w:sz="4" w:space="0" w:color="auto"/>
            </w:tcBorders>
            <w:shd w:val="clear" w:color="auto" w:fill="auto"/>
            <w:noWrap/>
            <w:vAlign w:val="bottom"/>
            <w:hideMark/>
          </w:tcPr>
          <w:p w14:paraId="3028EF2D" w14:textId="79BE4E1A"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2024-08-31305</w:t>
            </w:r>
          </w:p>
        </w:tc>
        <w:tc>
          <w:tcPr>
            <w:tcW w:w="1841" w:type="dxa"/>
            <w:tcBorders>
              <w:top w:val="nil"/>
              <w:left w:val="nil"/>
              <w:bottom w:val="single" w:sz="4" w:space="0" w:color="auto"/>
              <w:right w:val="single" w:sz="4" w:space="0" w:color="auto"/>
            </w:tcBorders>
          </w:tcPr>
          <w:p w14:paraId="2D6C64BF" w14:textId="77777777" w:rsidR="009A4008" w:rsidRPr="009A4008" w:rsidRDefault="009A4008" w:rsidP="00B6247C">
            <w:pPr>
              <w:rPr>
                <w:rFonts w:ascii="Times New Roman" w:hAnsi="Times New Roman" w:cs="Times New Roman"/>
                <w:color w:val="000000"/>
                <w:sz w:val="22"/>
                <w:szCs w:val="22"/>
              </w:rPr>
            </w:pPr>
          </w:p>
        </w:tc>
      </w:tr>
      <w:tr w:rsidR="009A4008" w:rsidRPr="009A4008" w14:paraId="4977F2A6" w14:textId="77777777" w:rsidTr="00B6247C">
        <w:trPr>
          <w:trHeight w:val="290"/>
          <w:jc w:val="center"/>
        </w:trPr>
        <w:tc>
          <w:tcPr>
            <w:tcW w:w="553" w:type="dxa"/>
            <w:tcBorders>
              <w:top w:val="nil"/>
              <w:left w:val="single" w:sz="4" w:space="0" w:color="auto"/>
              <w:bottom w:val="single" w:sz="4" w:space="0" w:color="auto"/>
              <w:right w:val="single" w:sz="4" w:space="0" w:color="auto"/>
            </w:tcBorders>
            <w:shd w:val="clear" w:color="auto" w:fill="auto"/>
            <w:noWrap/>
            <w:vAlign w:val="bottom"/>
            <w:hideMark/>
          </w:tcPr>
          <w:p w14:paraId="683F92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4</w:t>
            </w:r>
          </w:p>
        </w:tc>
        <w:tc>
          <w:tcPr>
            <w:tcW w:w="2785" w:type="dxa"/>
            <w:tcBorders>
              <w:top w:val="nil"/>
              <w:left w:val="nil"/>
              <w:bottom w:val="single" w:sz="4" w:space="0" w:color="auto"/>
              <w:right w:val="single" w:sz="4" w:space="0" w:color="auto"/>
            </w:tcBorders>
            <w:shd w:val="clear" w:color="auto" w:fill="auto"/>
            <w:noWrap/>
            <w:vAlign w:val="bottom"/>
            <w:hideMark/>
          </w:tcPr>
          <w:p w14:paraId="69F5E219" w14:textId="39E0A5B5"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KABAZZI JONATHAN ROGERS</w:t>
            </w:r>
          </w:p>
        </w:tc>
        <w:tc>
          <w:tcPr>
            <w:tcW w:w="1841" w:type="dxa"/>
            <w:tcBorders>
              <w:top w:val="nil"/>
              <w:left w:val="nil"/>
              <w:bottom w:val="single" w:sz="4" w:space="0" w:color="auto"/>
              <w:right w:val="single" w:sz="4" w:space="0" w:color="auto"/>
            </w:tcBorders>
            <w:shd w:val="clear" w:color="auto" w:fill="auto"/>
            <w:noWrap/>
            <w:vAlign w:val="bottom"/>
            <w:hideMark/>
          </w:tcPr>
          <w:p w14:paraId="18EFC728" w14:textId="4E08386F"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2024-08-30372</w:t>
            </w:r>
          </w:p>
        </w:tc>
        <w:tc>
          <w:tcPr>
            <w:tcW w:w="1841" w:type="dxa"/>
            <w:tcBorders>
              <w:top w:val="nil"/>
              <w:left w:val="nil"/>
              <w:bottom w:val="single" w:sz="4" w:space="0" w:color="auto"/>
              <w:right w:val="single" w:sz="4" w:space="0" w:color="auto"/>
            </w:tcBorders>
          </w:tcPr>
          <w:p w14:paraId="41B7F67D" w14:textId="77777777" w:rsidR="009A4008" w:rsidRPr="009A4008" w:rsidRDefault="009A4008" w:rsidP="00B6247C">
            <w:pPr>
              <w:rPr>
                <w:rFonts w:ascii="Times New Roman" w:hAnsi="Times New Roman" w:cs="Times New Roman"/>
                <w:color w:val="000000"/>
                <w:sz w:val="22"/>
                <w:szCs w:val="22"/>
              </w:rPr>
            </w:pPr>
          </w:p>
        </w:tc>
      </w:tr>
      <w:tr w:rsidR="009A4008" w:rsidRPr="009A4008" w14:paraId="4A591001" w14:textId="77777777" w:rsidTr="00B6247C">
        <w:trPr>
          <w:trHeight w:val="290"/>
          <w:jc w:val="center"/>
        </w:trPr>
        <w:tc>
          <w:tcPr>
            <w:tcW w:w="553" w:type="dxa"/>
            <w:tcBorders>
              <w:top w:val="nil"/>
              <w:left w:val="single" w:sz="4" w:space="0" w:color="auto"/>
              <w:bottom w:val="single" w:sz="4" w:space="0" w:color="auto"/>
              <w:right w:val="single" w:sz="4" w:space="0" w:color="auto"/>
            </w:tcBorders>
            <w:shd w:val="clear" w:color="auto" w:fill="auto"/>
            <w:noWrap/>
            <w:vAlign w:val="bottom"/>
            <w:hideMark/>
          </w:tcPr>
          <w:p w14:paraId="19A4B0F6" w14:textId="77777777" w:rsidR="009A4008" w:rsidRPr="009A4008" w:rsidRDefault="009A4008" w:rsidP="00B6247C">
            <w:pPr>
              <w:jc w:val="right"/>
              <w:rPr>
                <w:rFonts w:ascii="Times New Roman" w:hAnsi="Times New Roman" w:cs="Times New Roman"/>
                <w:color w:val="000000"/>
                <w:sz w:val="22"/>
                <w:szCs w:val="22"/>
              </w:rPr>
            </w:pPr>
            <w:r w:rsidRPr="009A4008">
              <w:rPr>
                <w:rFonts w:ascii="Times New Roman" w:hAnsi="Times New Roman" w:cs="Times New Roman"/>
                <w:color w:val="000000"/>
                <w:sz w:val="22"/>
                <w:szCs w:val="22"/>
              </w:rPr>
              <w:t>5</w:t>
            </w:r>
          </w:p>
        </w:tc>
        <w:tc>
          <w:tcPr>
            <w:tcW w:w="2785" w:type="dxa"/>
            <w:tcBorders>
              <w:top w:val="nil"/>
              <w:left w:val="nil"/>
              <w:bottom w:val="single" w:sz="4" w:space="0" w:color="auto"/>
              <w:right w:val="single" w:sz="4" w:space="0" w:color="auto"/>
            </w:tcBorders>
            <w:shd w:val="clear" w:color="auto" w:fill="auto"/>
            <w:noWrap/>
            <w:vAlign w:val="bottom"/>
            <w:hideMark/>
          </w:tcPr>
          <w:p w14:paraId="5E257AFF" w14:textId="72B2644A"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TUSUUBIRA DERICK MATTHEW</w:t>
            </w:r>
          </w:p>
        </w:tc>
        <w:tc>
          <w:tcPr>
            <w:tcW w:w="1841" w:type="dxa"/>
            <w:tcBorders>
              <w:top w:val="nil"/>
              <w:left w:val="nil"/>
              <w:bottom w:val="single" w:sz="4" w:space="0" w:color="auto"/>
              <w:right w:val="single" w:sz="4" w:space="0" w:color="auto"/>
            </w:tcBorders>
            <w:shd w:val="clear" w:color="auto" w:fill="auto"/>
            <w:noWrap/>
            <w:vAlign w:val="bottom"/>
            <w:hideMark/>
          </w:tcPr>
          <w:p w14:paraId="5EEC7A3A" w14:textId="62DD0B39" w:rsidR="009A4008" w:rsidRPr="009A4008" w:rsidRDefault="00B27F99" w:rsidP="00B6247C">
            <w:pPr>
              <w:rPr>
                <w:rFonts w:ascii="Times New Roman" w:hAnsi="Times New Roman" w:cs="Times New Roman"/>
                <w:color w:val="000000"/>
                <w:sz w:val="22"/>
                <w:szCs w:val="22"/>
              </w:rPr>
            </w:pPr>
            <w:r>
              <w:rPr>
                <w:rFonts w:ascii="Times New Roman" w:hAnsi="Times New Roman" w:cs="Times New Roman"/>
                <w:color w:val="000000"/>
                <w:sz w:val="22"/>
                <w:szCs w:val="22"/>
              </w:rPr>
              <w:t>2024-08-27739</w:t>
            </w:r>
            <w:bookmarkStart w:id="0" w:name="_GoBack"/>
            <w:bookmarkEnd w:id="0"/>
          </w:p>
        </w:tc>
        <w:tc>
          <w:tcPr>
            <w:tcW w:w="1841" w:type="dxa"/>
            <w:tcBorders>
              <w:top w:val="nil"/>
              <w:left w:val="nil"/>
              <w:bottom w:val="single" w:sz="4" w:space="0" w:color="auto"/>
              <w:right w:val="single" w:sz="4" w:space="0" w:color="auto"/>
            </w:tcBorders>
          </w:tcPr>
          <w:p w14:paraId="3119EAFF" w14:textId="77777777" w:rsidR="009A4008" w:rsidRPr="009A4008" w:rsidRDefault="009A4008" w:rsidP="00B6247C">
            <w:pPr>
              <w:rPr>
                <w:rFonts w:ascii="Times New Roman" w:hAnsi="Times New Roman" w:cs="Times New Roman"/>
                <w:color w:val="000000"/>
                <w:sz w:val="22"/>
                <w:szCs w:val="22"/>
              </w:rPr>
            </w:pPr>
          </w:p>
        </w:tc>
      </w:tr>
    </w:tbl>
    <w:p w14:paraId="55C7C842" w14:textId="77777777" w:rsidR="009A4008" w:rsidRPr="009A4008" w:rsidRDefault="009A4008" w:rsidP="009A4008">
      <w:pPr>
        <w:spacing w:after="160"/>
        <w:jc w:val="center"/>
        <w:rPr>
          <w:rFonts w:ascii="Times New Roman" w:hAnsi="Times New Roman" w:cs="Times New Roman"/>
          <w:sz w:val="22"/>
          <w:szCs w:val="22"/>
        </w:rPr>
      </w:pPr>
    </w:p>
    <w:p w14:paraId="6C5A7A45" w14:textId="77777777" w:rsidR="009A4008" w:rsidRPr="009A4008" w:rsidRDefault="009A4008" w:rsidP="009A4008">
      <w:pPr>
        <w:spacing w:after="160"/>
        <w:jc w:val="center"/>
        <w:rPr>
          <w:rFonts w:ascii="Times New Roman" w:hAnsi="Times New Roman" w:cs="Times New Roman"/>
          <w:sz w:val="22"/>
          <w:szCs w:val="22"/>
        </w:rPr>
      </w:pPr>
    </w:p>
    <w:p w14:paraId="6611914A"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Lecturer: Mr Niyibizi Kenneth</w:t>
      </w:r>
    </w:p>
    <w:p w14:paraId="4AFFB732" w14:textId="77777777" w:rsidR="009A4008" w:rsidRPr="009A4008" w:rsidRDefault="009A4008" w:rsidP="009A4008">
      <w:pPr>
        <w:spacing w:after="160"/>
        <w:jc w:val="center"/>
        <w:rPr>
          <w:rFonts w:ascii="Times New Roman" w:hAnsi="Times New Roman" w:cs="Times New Roman"/>
          <w:sz w:val="22"/>
          <w:szCs w:val="22"/>
        </w:rPr>
      </w:pPr>
      <w:r w:rsidRPr="009A4008">
        <w:rPr>
          <w:rFonts w:ascii="Times New Roman" w:hAnsi="Times New Roman" w:cs="Times New Roman"/>
          <w:sz w:val="22"/>
          <w:szCs w:val="22"/>
        </w:rPr>
        <w:t>Submission date: 2026-10-12</w:t>
      </w:r>
    </w:p>
    <w:p w14:paraId="4F23E7E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br w:type="page"/>
      </w:r>
    </w:p>
    <w:p w14:paraId="2F849AF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Contents</w:t>
      </w:r>
    </w:p>
    <w:p w14:paraId="0D395D2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 Executive Summary</w:t>
      </w:r>
    </w:p>
    <w:p w14:paraId="6CB78B3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2. Business Context and Objectives</w:t>
      </w:r>
    </w:p>
    <w:p w14:paraId="5863B176"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3. Governance and Accountability</w:t>
      </w:r>
    </w:p>
    <w:p w14:paraId="039BF3F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4. Target Architecture and Data Model</w:t>
      </w:r>
    </w:p>
    <w:p w14:paraId="10EB9E2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5. Data Quality Management</w:t>
      </w:r>
    </w:p>
    <w:p w14:paraId="3A2014D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6. Master Data Management</w:t>
      </w:r>
    </w:p>
    <w:p w14:paraId="7BCB620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7. Metadata, Cataloguing and Lineage</w:t>
      </w:r>
    </w:p>
    <w:p w14:paraId="447D7B8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8. Security, Privacy and Compliance</w:t>
      </w:r>
    </w:p>
    <w:p w14:paraId="1CF94FD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9. Analytics and Ministry of Health Reporting</w:t>
      </w:r>
    </w:p>
    <w:p w14:paraId="2379153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10. Implementation Roadmap and Future Development</w:t>
      </w:r>
    </w:p>
    <w:p w14:paraId="772EDF1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11. Operations, Monitoring and Risk Management</w:t>
      </w:r>
    </w:p>
    <w:p w14:paraId="5C30D9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12. Conclusion</w:t>
      </w:r>
    </w:p>
    <w:p w14:paraId="591FAD7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Appendix A. Database Objects Referenced in the Design</w:t>
      </w:r>
    </w:p>
    <w:p w14:paraId="2F4F7A77"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Appendix B. Individual Reflection and Contribution Log</w:t>
      </w:r>
    </w:p>
    <w:p w14:paraId="1719E9D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br w:type="page"/>
      </w:r>
    </w:p>
    <w:p w14:paraId="582CC94D"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 Executive Summary</w:t>
      </w:r>
    </w:p>
    <w:p w14:paraId="493373E7"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Health Network operates four clinics in Kampala, Mukono, Mbarara and Gulu. The clinics were brought together from separate operations, each with its own patient registration practices. One branch still relies on paper records. Differences in patient names, telephone numbers and registration details make it difficult to identify unique patients and to prepare a reliable network-wide view of service delivery.</w:t>
      </w:r>
    </w:p>
    <w:p w14:paraId="55F2321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existing approach also creates privacy and reporting risks. The project brief describes a case in which a spreadsheet containing patient HIV statuses was sent to the wrong recipient. It also states that the Ministry of Health requires consolidated reporting on outpatient attendance, leading diagnoses and revenue by service, while manual preparation currently takes three staff approximately two weeks.</w:t>
      </w:r>
    </w:p>
    <w:p w14:paraId="4778A00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This strategy proposes a MySQL 8-based enterprise data platform supported by data governance, data quality controls, </w:t>
      </w:r>
      <w:proofErr w:type="gramStart"/>
      <w:r w:rsidRPr="009A4008">
        <w:rPr>
          <w:rFonts w:ascii="Times New Roman" w:hAnsi="Times New Roman" w:cs="Times New Roman"/>
          <w:sz w:val="22"/>
          <w:szCs w:val="22"/>
        </w:rPr>
        <w:t>master</w:t>
      </w:r>
      <w:proofErr w:type="gramEnd"/>
      <w:r w:rsidRPr="009A4008">
        <w:rPr>
          <w:rFonts w:ascii="Times New Roman" w:hAnsi="Times New Roman" w:cs="Times New Roman"/>
          <w:sz w:val="22"/>
          <w:szCs w:val="22"/>
        </w:rPr>
        <w:t xml:space="preserve"> data management (MDM), a dimensional data warehouse, metadata documentation, access controls and scheduled monitoring. Source records are first retained in staging tables, then standardized and reconciled into a master patient record. Visit and billing data are integrated into a warehouse for reporting. The design aims to reduce duplicate patient identities, improve the reliability of telephone numbers, protect personal information and make monthly reporting repeatable.</w:t>
      </w:r>
    </w:p>
    <w:p w14:paraId="799F25A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strategy is organized around the business rules in the project brief. Each patient should have one golden record; telephone numbers should be normalized to the Ugandan format 256XXXXXXXXX and used as the primary matching key; National Identification numbers should not be stored in plain text; identity conflicts should be referred to a data steward; billing records should be immutable; and changes to master records should be audited. Access should be limited according to role, clinical records should follow the defined retention lifecycle, and source systems should not be treated as trusted until their metadata is recorded.</w:t>
      </w:r>
    </w:p>
    <w:p w14:paraId="6975131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design is intended to support a monthly reporting deadline of the fifth day of each month. Its success must be assessed using evidence from the working database, including data-quality scorecards, golden-record and crosswalk queries, ETL results, dashboard outputs, access-control tests and scheduled-event logs. Final claims about achieved performance should be added only after those checks have been completed.</w:t>
      </w:r>
    </w:p>
    <w:p w14:paraId="4B6B6BC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2. Business Context and Objectives</w:t>
      </w:r>
    </w:p>
    <w:p w14:paraId="73133B4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2.1 Current business problem</w:t>
      </w:r>
    </w:p>
    <w:p w14:paraId="43D658F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central problem is not simply that the clinics use different software. Their records do not follow a common standard, and the network lacks a consistent process for deciding which values are trustworthy, who is accountable for them, who may access them and how long they should be retained. The same person may be registered several times, and different spellings or telephone numbers can prevent reliable matching. Inconsistent source data also affects operational reporting.</w:t>
      </w:r>
    </w:p>
    <w:p w14:paraId="1120599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sample data in the brief illustrates these issues. In Legacy A, the name Nakato Sarah appears in differently formatted records, including rows 1 and 2. Legacy B contains Sarah Nakato as source row 101, with a normalized telephone number and an email address. The sample also includes inconsistent sex values, several date formats, incomplete identity fields and an invalid placeholder telephone value of '0'.</w:t>
      </w:r>
    </w:p>
    <w:p w14:paraId="2119EFD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2.2 Project objectives</w:t>
      </w:r>
    </w:p>
    <w:p w14:paraId="7B12D9DA" w14:textId="77777777" w:rsidR="009A4008" w:rsidRPr="009A4008" w:rsidRDefault="009A4008" w:rsidP="009A4008">
      <w:pPr>
        <w:pStyle w:val="ListBullet"/>
        <w:spacing w:after="60"/>
        <w:rPr>
          <w:rFonts w:cs="Times New Roman"/>
        </w:rPr>
      </w:pPr>
      <w:r w:rsidRPr="009A4008">
        <w:rPr>
          <w:rFonts w:cs="Times New Roman"/>
        </w:rPr>
        <w:t>Establish clear ownership, stewardship and accountability for enterprise data.</w:t>
      </w:r>
    </w:p>
    <w:p w14:paraId="1D3C7CBB" w14:textId="77777777" w:rsidR="009A4008" w:rsidRPr="009A4008" w:rsidRDefault="009A4008" w:rsidP="009A4008">
      <w:pPr>
        <w:pStyle w:val="ListBullet"/>
        <w:spacing w:after="60"/>
        <w:rPr>
          <w:rFonts w:cs="Times New Roman"/>
        </w:rPr>
      </w:pPr>
      <w:r w:rsidRPr="009A4008">
        <w:rPr>
          <w:rFonts w:cs="Times New Roman"/>
        </w:rPr>
        <w:t>Create a documented lifecycle for each data class, including retention, archiving and deletion.</w:t>
      </w:r>
    </w:p>
    <w:p w14:paraId="3489C137" w14:textId="77777777" w:rsidR="009A4008" w:rsidRPr="009A4008" w:rsidRDefault="009A4008" w:rsidP="009A4008">
      <w:pPr>
        <w:pStyle w:val="ListBullet"/>
        <w:spacing w:after="60"/>
        <w:rPr>
          <w:rFonts w:cs="Times New Roman"/>
        </w:rPr>
      </w:pPr>
      <w:r w:rsidRPr="009A4008">
        <w:rPr>
          <w:rFonts w:cs="Times New Roman"/>
        </w:rPr>
        <w:t>Build a relational master schema for clinics, staff, patients, visits and billing.</w:t>
      </w:r>
    </w:p>
    <w:p w14:paraId="23C62610" w14:textId="77777777" w:rsidR="009A4008" w:rsidRPr="009A4008" w:rsidRDefault="009A4008" w:rsidP="009A4008">
      <w:pPr>
        <w:pStyle w:val="ListBullet"/>
        <w:spacing w:after="60"/>
        <w:rPr>
          <w:rFonts w:cs="Times New Roman"/>
        </w:rPr>
      </w:pPr>
      <w:r w:rsidRPr="009A4008">
        <w:rPr>
          <w:rFonts w:cs="Times New Roman"/>
        </w:rPr>
        <w:t>Standardize source data and monitor quality against measurable targets.</w:t>
      </w:r>
    </w:p>
    <w:p w14:paraId="03AEE771" w14:textId="77777777" w:rsidR="009A4008" w:rsidRPr="009A4008" w:rsidRDefault="009A4008" w:rsidP="009A4008">
      <w:pPr>
        <w:pStyle w:val="ListBullet"/>
        <w:spacing w:after="60"/>
        <w:rPr>
          <w:rFonts w:cs="Times New Roman"/>
        </w:rPr>
      </w:pPr>
      <w:r w:rsidRPr="009A4008">
        <w:rPr>
          <w:rFonts w:cs="Times New Roman"/>
        </w:rPr>
        <w:t>Create a single golden patient record while preserving links to contributing source records.</w:t>
      </w:r>
    </w:p>
    <w:p w14:paraId="67F1934B" w14:textId="77777777" w:rsidR="009A4008" w:rsidRPr="009A4008" w:rsidRDefault="009A4008" w:rsidP="009A4008">
      <w:pPr>
        <w:pStyle w:val="ListBullet"/>
        <w:spacing w:after="60"/>
        <w:rPr>
          <w:rFonts w:cs="Times New Roman"/>
        </w:rPr>
      </w:pPr>
      <w:r w:rsidRPr="009A4008">
        <w:rPr>
          <w:rFonts w:cs="Times New Roman"/>
        </w:rPr>
        <w:t>Provide a dimensional warehouse that supports repeatable Ministry of Health and management reporting.</w:t>
      </w:r>
    </w:p>
    <w:p w14:paraId="39AC9BC2" w14:textId="77777777" w:rsidR="009A4008" w:rsidRPr="009A4008" w:rsidRDefault="009A4008" w:rsidP="009A4008">
      <w:pPr>
        <w:pStyle w:val="ListBullet"/>
        <w:spacing w:after="60"/>
        <w:rPr>
          <w:rFonts w:cs="Times New Roman"/>
        </w:rPr>
      </w:pPr>
      <w:r w:rsidRPr="009A4008">
        <w:rPr>
          <w:rFonts w:cs="Times New Roman"/>
        </w:rPr>
        <w:t>Maintain a catalog containing technical metadata, business definitions and lineage.</w:t>
      </w:r>
    </w:p>
    <w:p w14:paraId="2DE03074" w14:textId="77777777" w:rsidR="009A4008" w:rsidRPr="009A4008" w:rsidRDefault="009A4008" w:rsidP="009A4008">
      <w:pPr>
        <w:pStyle w:val="ListBullet"/>
        <w:spacing w:after="60"/>
        <w:rPr>
          <w:rFonts w:cs="Times New Roman"/>
        </w:rPr>
      </w:pPr>
      <w:r w:rsidRPr="009A4008">
        <w:rPr>
          <w:rFonts w:cs="Times New Roman"/>
        </w:rPr>
        <w:t>Protect personal and clinical information through classification, masking, least privilege and audit trails.</w:t>
      </w:r>
    </w:p>
    <w:p w14:paraId="0CAF96DA" w14:textId="77777777" w:rsidR="009A4008" w:rsidRPr="009A4008" w:rsidRDefault="009A4008" w:rsidP="009A4008">
      <w:pPr>
        <w:pStyle w:val="ListBullet"/>
        <w:spacing w:after="60"/>
        <w:rPr>
          <w:rFonts w:cs="Times New Roman"/>
        </w:rPr>
      </w:pPr>
      <w:r w:rsidRPr="009A4008">
        <w:rPr>
          <w:rFonts w:cs="Times New Roman"/>
        </w:rPr>
        <w:t>Automate routine quality logging and lifecycle tasks where the database implementation supports them.</w:t>
      </w:r>
    </w:p>
    <w:p w14:paraId="473AF25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lastRenderedPageBreak/>
        <w:t>2.3 Scope</w:t>
      </w:r>
    </w:p>
    <w:p w14:paraId="3B6F3E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scope covers the sample source systems and paper-derived records described in the brief, the MySQL database named medilink, governance registers, the master patient record, operational visit and billing data, a star-schema warehouse, cataloguing, privacy and security controls, reporting and scheduled monitoring. The platform is designed around the four MediLink clinic locations and the source types named in the brief: LEGACY_A, LEGACY_B, PHARMACY_POS and PAPER_SCAN.</w:t>
      </w:r>
    </w:p>
    <w:p w14:paraId="35C8565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 xml:space="preserve"> 2.4 Business rules and acceptance criteria</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1BA741C2" w14:textId="77777777" w:rsidTr="00B6247C">
        <w:trPr>
          <w:cantSplit/>
          <w:jc w:val="center"/>
        </w:trPr>
        <w:tc>
          <w:tcPr>
            <w:tcW w:w="3216" w:type="dxa"/>
            <w:shd w:val="clear" w:color="auto" w:fill="EDEDED"/>
            <w:vAlign w:val="center"/>
          </w:tcPr>
          <w:p w14:paraId="61A475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Rule</w:t>
            </w:r>
          </w:p>
        </w:tc>
        <w:tc>
          <w:tcPr>
            <w:tcW w:w="3216" w:type="dxa"/>
            <w:shd w:val="clear" w:color="auto" w:fill="EDEDED"/>
            <w:vAlign w:val="center"/>
          </w:tcPr>
          <w:p w14:paraId="7D3ECCC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Design response</w:t>
            </w:r>
          </w:p>
        </w:tc>
        <w:tc>
          <w:tcPr>
            <w:tcW w:w="3216" w:type="dxa"/>
            <w:shd w:val="clear" w:color="auto" w:fill="EDEDED"/>
            <w:vAlign w:val="center"/>
          </w:tcPr>
          <w:p w14:paraId="6D42183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Evidence to retain</w:t>
            </w:r>
          </w:p>
        </w:tc>
      </w:tr>
      <w:tr w:rsidR="009A4008" w:rsidRPr="009A4008" w14:paraId="38497379" w14:textId="77777777" w:rsidTr="00B6247C">
        <w:trPr>
          <w:cantSplit/>
          <w:jc w:val="center"/>
        </w:trPr>
        <w:tc>
          <w:tcPr>
            <w:tcW w:w="3216" w:type="dxa"/>
            <w:vAlign w:val="center"/>
          </w:tcPr>
          <w:p w14:paraId="7A9272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 master record per patient</w:t>
            </w:r>
          </w:p>
        </w:tc>
        <w:tc>
          <w:tcPr>
            <w:tcW w:w="3216" w:type="dxa"/>
            <w:vAlign w:val="center"/>
          </w:tcPr>
          <w:p w14:paraId="5F3561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 creates a golden record and maps source records through patient_source_links.</w:t>
            </w:r>
          </w:p>
        </w:tc>
        <w:tc>
          <w:tcPr>
            <w:tcW w:w="3216" w:type="dxa"/>
            <w:vAlign w:val="center"/>
          </w:tcPr>
          <w:p w14:paraId="1DFAC4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Query showing source records mapped to a single patient_key; steward review records.</w:t>
            </w:r>
          </w:p>
        </w:tc>
      </w:tr>
      <w:tr w:rsidR="009A4008" w:rsidRPr="009A4008" w14:paraId="03C5E98D" w14:textId="77777777" w:rsidTr="00B6247C">
        <w:trPr>
          <w:cantSplit/>
          <w:jc w:val="center"/>
        </w:trPr>
        <w:tc>
          <w:tcPr>
            <w:tcW w:w="3216" w:type="dxa"/>
            <w:vAlign w:val="center"/>
          </w:tcPr>
          <w:p w14:paraId="74DFB6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 as primary match key</w:t>
            </w:r>
          </w:p>
        </w:tc>
        <w:tc>
          <w:tcPr>
            <w:tcW w:w="3216" w:type="dxa"/>
            <w:vAlign w:val="center"/>
          </w:tcPr>
          <w:p w14:paraId="457AB23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Normalize telephone values to 256 followed by nine digits; reject or review invalid values.</w:t>
            </w:r>
          </w:p>
        </w:tc>
        <w:tc>
          <w:tcPr>
            <w:tcW w:w="3216" w:type="dxa"/>
            <w:vAlign w:val="center"/>
          </w:tcPr>
          <w:p w14:paraId="0F13C0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Before-and-after quality results and invalid-phone query.</w:t>
            </w:r>
          </w:p>
        </w:tc>
      </w:tr>
      <w:tr w:rsidR="009A4008" w:rsidRPr="009A4008" w14:paraId="3BBB624A" w14:textId="77777777" w:rsidTr="00B6247C">
        <w:trPr>
          <w:cantSplit/>
          <w:jc w:val="center"/>
        </w:trPr>
        <w:tc>
          <w:tcPr>
            <w:tcW w:w="3216" w:type="dxa"/>
            <w:vAlign w:val="center"/>
          </w:tcPr>
          <w:p w14:paraId="5A9D7E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 protection</w:t>
            </w:r>
          </w:p>
        </w:tc>
        <w:tc>
          <w:tcPr>
            <w:tcW w:w="3216" w:type="dxa"/>
            <w:vAlign w:val="center"/>
          </w:tcPr>
          <w:p w14:paraId="671BD0A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 a SHA-256 hash only in the master data layer; do not retain plaintext in the trusted master.</w:t>
            </w:r>
          </w:p>
        </w:tc>
        <w:tc>
          <w:tcPr>
            <w:tcW w:w="3216" w:type="dxa"/>
            <w:vAlign w:val="center"/>
          </w:tcPr>
          <w:p w14:paraId="312035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Schema inspection and test data showing hash storage, not plaintext.</w:t>
            </w:r>
          </w:p>
        </w:tc>
      </w:tr>
      <w:tr w:rsidR="009A4008" w:rsidRPr="009A4008" w14:paraId="6C32AEB4" w14:textId="77777777" w:rsidTr="00B6247C">
        <w:trPr>
          <w:cantSplit/>
          <w:jc w:val="center"/>
        </w:trPr>
        <w:tc>
          <w:tcPr>
            <w:tcW w:w="3216" w:type="dxa"/>
            <w:vAlign w:val="center"/>
          </w:tcPr>
          <w:p w14:paraId="1EB692A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 ownership</w:t>
            </w:r>
          </w:p>
        </w:tc>
        <w:tc>
          <w:tcPr>
            <w:tcW w:w="3216" w:type="dxa"/>
            <w:vAlign w:val="center"/>
          </w:tcPr>
          <w:p w14:paraId="5D255F2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Each visit links to a patient and clinic, and to a staff member where the source record provides one.</w:t>
            </w:r>
          </w:p>
        </w:tc>
        <w:tc>
          <w:tcPr>
            <w:tcW w:w="3216" w:type="dxa"/>
            <w:vAlign w:val="center"/>
          </w:tcPr>
          <w:p w14:paraId="7DC0E5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Foreign-key checks and orphan-record checks.</w:t>
            </w:r>
          </w:p>
        </w:tc>
      </w:tr>
      <w:tr w:rsidR="009A4008" w:rsidRPr="009A4008" w14:paraId="3A982999" w14:textId="77777777" w:rsidTr="00B6247C">
        <w:trPr>
          <w:cantSplit/>
          <w:jc w:val="center"/>
        </w:trPr>
        <w:tc>
          <w:tcPr>
            <w:tcW w:w="3216" w:type="dxa"/>
            <w:vAlign w:val="center"/>
          </w:tcPr>
          <w:p w14:paraId="6F652B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Immutable billing</w:t>
            </w:r>
          </w:p>
        </w:tc>
        <w:tc>
          <w:tcPr>
            <w:tcW w:w="3216" w:type="dxa"/>
            <w:vAlign w:val="center"/>
          </w:tcPr>
          <w:p w14:paraId="1755B22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 updates to existing billing rows; use adjustment records for corrections.</w:t>
            </w:r>
          </w:p>
        </w:tc>
        <w:tc>
          <w:tcPr>
            <w:tcW w:w="3216" w:type="dxa"/>
            <w:vAlign w:val="center"/>
          </w:tcPr>
          <w:p w14:paraId="4DA128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 definition and test showing an attempted update is rejected.</w:t>
            </w:r>
          </w:p>
        </w:tc>
      </w:tr>
      <w:tr w:rsidR="009A4008" w:rsidRPr="009A4008" w14:paraId="0B7793A1" w14:textId="77777777" w:rsidTr="00B6247C">
        <w:trPr>
          <w:cantSplit/>
          <w:jc w:val="center"/>
        </w:trPr>
        <w:tc>
          <w:tcPr>
            <w:tcW w:w="3216" w:type="dxa"/>
            <w:vAlign w:val="center"/>
          </w:tcPr>
          <w:p w14:paraId="7A80AA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Survivorship and conflict review</w:t>
            </w:r>
          </w:p>
        </w:tc>
        <w:tc>
          <w:tcPr>
            <w:tcW w:w="3216" w:type="dxa"/>
            <w:vAlign w:val="center"/>
          </w:tcPr>
          <w:p w14:paraId="350D40C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Most recently updated source wins for contact fields; identity conflicts go to steward review rather than automatic merge.</w:t>
            </w:r>
          </w:p>
        </w:tc>
        <w:tc>
          <w:tcPr>
            <w:tcW w:w="3216" w:type="dxa"/>
            <w:vAlign w:val="center"/>
          </w:tcPr>
          <w:p w14:paraId="587B40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Field-level survivorship table, review queue and sample decisions.</w:t>
            </w:r>
          </w:p>
        </w:tc>
      </w:tr>
      <w:tr w:rsidR="009A4008" w:rsidRPr="009A4008" w14:paraId="51DD6292" w14:textId="77777777" w:rsidTr="00B6247C">
        <w:trPr>
          <w:cantSplit/>
          <w:jc w:val="center"/>
        </w:trPr>
        <w:tc>
          <w:tcPr>
            <w:tcW w:w="3216" w:type="dxa"/>
            <w:vAlign w:val="center"/>
          </w:tcPr>
          <w:p w14:paraId="056749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quality monitoring</w:t>
            </w:r>
          </w:p>
        </w:tc>
        <w:tc>
          <w:tcPr>
            <w:tcW w:w="3216" w:type="dxa"/>
            <w:vAlign w:val="center"/>
          </w:tcPr>
          <w:p w14:paraId="66870D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Target at least 97% telephone completeness and zero invalid telephone numbers, measured weekly.</w:t>
            </w:r>
          </w:p>
        </w:tc>
        <w:tc>
          <w:tcPr>
            <w:tcW w:w="3216" w:type="dxa"/>
            <w:vAlign w:val="center"/>
          </w:tcPr>
          <w:p w14:paraId="66291A2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Scorecard view and dated dq_scorecard_log records.</w:t>
            </w:r>
          </w:p>
        </w:tc>
      </w:tr>
      <w:tr w:rsidR="009A4008" w:rsidRPr="009A4008" w14:paraId="3F39FB84" w14:textId="77777777" w:rsidTr="00B6247C">
        <w:trPr>
          <w:cantSplit/>
          <w:jc w:val="center"/>
        </w:trPr>
        <w:tc>
          <w:tcPr>
            <w:tcW w:w="3216" w:type="dxa"/>
            <w:vAlign w:val="center"/>
          </w:tcPr>
          <w:p w14:paraId="351B666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Role-based access</w:t>
            </w:r>
          </w:p>
        </w:tc>
        <w:tc>
          <w:tcPr>
            <w:tcW w:w="3216" w:type="dxa"/>
            <w:vAlign w:val="center"/>
          </w:tcPr>
          <w:p w14:paraId="7734AF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Reception sees a masked directory; clinicians have authorized access to full records; analysts use de-identified warehouse data.</w:t>
            </w:r>
          </w:p>
        </w:tc>
        <w:tc>
          <w:tcPr>
            <w:tcW w:w="3216" w:type="dxa"/>
            <w:vAlign w:val="center"/>
          </w:tcPr>
          <w:p w14:paraId="3B3018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Role grants, test accounts and screenshots of permission tests.</w:t>
            </w:r>
          </w:p>
        </w:tc>
      </w:tr>
      <w:tr w:rsidR="009A4008" w:rsidRPr="009A4008" w14:paraId="40D47A3D" w14:textId="77777777" w:rsidTr="00B6247C">
        <w:trPr>
          <w:cantSplit/>
          <w:jc w:val="center"/>
        </w:trPr>
        <w:tc>
          <w:tcPr>
            <w:tcW w:w="3216" w:type="dxa"/>
            <w:vAlign w:val="center"/>
          </w:tcPr>
          <w:p w14:paraId="2E72DD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Master-data audit</w:t>
            </w:r>
          </w:p>
        </w:tc>
        <w:tc>
          <w:tcPr>
            <w:tcW w:w="3216" w:type="dxa"/>
            <w:vAlign w:val="center"/>
          </w:tcPr>
          <w:p w14:paraId="07AC574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 who changed a master record, when it changed and what changed.</w:t>
            </w:r>
          </w:p>
        </w:tc>
        <w:tc>
          <w:tcPr>
            <w:tcW w:w="3216" w:type="dxa"/>
            <w:vAlign w:val="center"/>
          </w:tcPr>
          <w:p w14:paraId="799E1690" w14:textId="77777777" w:rsidR="009A4008" w:rsidRPr="009A4008" w:rsidRDefault="009A4008" w:rsidP="00B6247C">
            <w:pPr>
              <w:spacing w:before="40" w:after="40"/>
              <w:rPr>
                <w:rFonts w:ascii="Times New Roman" w:hAnsi="Times New Roman" w:cs="Times New Roman"/>
                <w:sz w:val="22"/>
                <w:szCs w:val="22"/>
              </w:rPr>
            </w:pPr>
            <w:proofErr w:type="gramStart"/>
            <w:r w:rsidRPr="009A4008">
              <w:rPr>
                <w:rFonts w:ascii="Times New Roman" w:hAnsi="Times New Roman" w:cs="Times New Roman"/>
                <w:sz w:val="22"/>
                <w:szCs w:val="22"/>
              </w:rPr>
              <w:t>master_audit</w:t>
            </w:r>
            <w:proofErr w:type="gramEnd"/>
            <w:r w:rsidRPr="009A4008">
              <w:rPr>
                <w:rFonts w:ascii="Times New Roman" w:hAnsi="Times New Roman" w:cs="Times New Roman"/>
                <w:sz w:val="22"/>
                <w:szCs w:val="22"/>
              </w:rPr>
              <w:t xml:space="preserve"> rows produced by the audit trigger.</w:t>
            </w:r>
          </w:p>
        </w:tc>
      </w:tr>
      <w:tr w:rsidR="009A4008" w:rsidRPr="009A4008" w14:paraId="270EC51D" w14:textId="77777777" w:rsidTr="00B6247C">
        <w:trPr>
          <w:cantSplit/>
          <w:jc w:val="center"/>
        </w:trPr>
        <w:tc>
          <w:tcPr>
            <w:tcW w:w="3216" w:type="dxa"/>
            <w:vAlign w:val="center"/>
          </w:tcPr>
          <w:p w14:paraId="32624D9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lifecycle</w:t>
            </w:r>
          </w:p>
        </w:tc>
        <w:tc>
          <w:tcPr>
            <w:tcW w:w="3216" w:type="dxa"/>
            <w:vAlign w:val="center"/>
          </w:tcPr>
          <w:p w14:paraId="0047E5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records follow the 10-year retention policy, then archiving and authorized purging.</w:t>
            </w:r>
          </w:p>
        </w:tc>
        <w:tc>
          <w:tcPr>
            <w:tcW w:w="3216" w:type="dxa"/>
            <w:vAlign w:val="center"/>
          </w:tcPr>
          <w:p w14:paraId="6148205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Lifecycle policy table, event definition and safe test evidence.</w:t>
            </w:r>
          </w:p>
        </w:tc>
      </w:tr>
      <w:tr w:rsidR="009A4008" w:rsidRPr="009A4008" w14:paraId="69FD0689" w14:textId="77777777" w:rsidTr="00B6247C">
        <w:trPr>
          <w:cantSplit/>
          <w:jc w:val="center"/>
        </w:trPr>
        <w:tc>
          <w:tcPr>
            <w:tcW w:w="3216" w:type="dxa"/>
            <w:vAlign w:val="center"/>
          </w:tcPr>
          <w:p w14:paraId="7CACC14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Metadata before trust</w:t>
            </w:r>
          </w:p>
        </w:tc>
        <w:tc>
          <w:tcPr>
            <w:tcW w:w="3216" w:type="dxa"/>
            <w:vAlign w:val="center"/>
          </w:tcPr>
          <w:p w14:paraId="0A7F8F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Register owner, definitions and lineage before accepting a source as trusted.</w:t>
            </w:r>
          </w:p>
        </w:tc>
        <w:tc>
          <w:tcPr>
            <w:tcW w:w="3216" w:type="dxa"/>
            <w:vAlign w:val="center"/>
          </w:tcPr>
          <w:p w14:paraId="5AA43E7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Catalog records and source onboarding checklist.</w:t>
            </w:r>
          </w:p>
        </w:tc>
      </w:tr>
      <w:tr w:rsidR="009A4008" w:rsidRPr="009A4008" w14:paraId="4F7C7052" w14:textId="77777777" w:rsidTr="00B6247C">
        <w:trPr>
          <w:cantSplit/>
          <w:jc w:val="center"/>
        </w:trPr>
        <w:tc>
          <w:tcPr>
            <w:tcW w:w="3216" w:type="dxa"/>
            <w:vAlign w:val="center"/>
          </w:tcPr>
          <w:p w14:paraId="2AF0B58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Monthly reporting</w:t>
            </w:r>
          </w:p>
        </w:tc>
        <w:tc>
          <w:tcPr>
            <w:tcW w:w="3216" w:type="dxa"/>
            <w:vAlign w:val="center"/>
          </w:tcPr>
          <w:p w14:paraId="6F70A3E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Prepare attendance, top diagnoses and revenue by service by the fifth of each month.</w:t>
            </w:r>
          </w:p>
        </w:tc>
        <w:tc>
          <w:tcPr>
            <w:tcW w:w="3216" w:type="dxa"/>
            <w:vAlign w:val="center"/>
          </w:tcPr>
          <w:p w14:paraId="4F4CC7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Dated report output and dashboard screenshots.</w:t>
            </w:r>
          </w:p>
        </w:tc>
      </w:tr>
    </w:tbl>
    <w:p w14:paraId="73EDE1A3" w14:textId="77777777" w:rsidR="009A4008" w:rsidRPr="009A4008" w:rsidRDefault="009A4008" w:rsidP="009A4008">
      <w:pPr>
        <w:rPr>
          <w:rFonts w:ascii="Times New Roman" w:hAnsi="Times New Roman" w:cs="Times New Roman"/>
          <w:sz w:val="22"/>
          <w:szCs w:val="22"/>
        </w:rPr>
      </w:pPr>
    </w:p>
    <w:p w14:paraId="07F620F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3. Governance and Accountability</w:t>
      </w:r>
    </w:p>
    <w:p w14:paraId="085BECEB"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3.1 Governance model</w:t>
      </w:r>
    </w:p>
    <w:p w14:paraId="499C9B8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should treat data as an organizational asset with named owners, operational stewards and technical custodians. Governance decisions should be documented and enforced where practical through database constraints, roles, views, triggers and scheduled monitoring. A written policy alone is insufficient if users can bypass it through unrestricted database access.</w:t>
      </w:r>
    </w:p>
    <w:p w14:paraId="1807980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governance register described in the brief is represented by data_ownership, raci, policies and compliance_register. These tables provide a record of responsibility, activity-level participation, policy summaries and compliance gaps. The register should be reviewed when a new source is introduced, when the data model changes or when an audit identifies a control failure.</w:t>
      </w:r>
    </w:p>
    <w:p w14:paraId="76604CC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3.2 Roles and responsibilities</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1375B602" w14:textId="77777777" w:rsidTr="00B6247C">
        <w:trPr>
          <w:cantSplit/>
          <w:jc w:val="center"/>
        </w:trPr>
        <w:tc>
          <w:tcPr>
            <w:tcW w:w="3216" w:type="dxa"/>
            <w:shd w:val="clear" w:color="auto" w:fill="EDEDED"/>
            <w:vAlign w:val="center"/>
          </w:tcPr>
          <w:p w14:paraId="676DB73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w:t>
            </w:r>
          </w:p>
        </w:tc>
        <w:tc>
          <w:tcPr>
            <w:tcW w:w="3216" w:type="dxa"/>
            <w:shd w:val="clear" w:color="auto" w:fill="EDEDED"/>
            <w:vAlign w:val="center"/>
          </w:tcPr>
          <w:p w14:paraId="771ACC3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Primary responsibility</w:t>
            </w:r>
          </w:p>
        </w:tc>
        <w:tc>
          <w:tcPr>
            <w:tcW w:w="3216" w:type="dxa"/>
            <w:shd w:val="clear" w:color="auto" w:fill="EDEDED"/>
            <w:vAlign w:val="center"/>
          </w:tcPr>
          <w:p w14:paraId="5A1930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Examples of decisions or work</w:t>
            </w:r>
          </w:p>
        </w:tc>
      </w:tr>
      <w:tr w:rsidR="009A4008" w:rsidRPr="009A4008" w14:paraId="4BE6F511" w14:textId="77777777" w:rsidTr="00B6247C">
        <w:trPr>
          <w:cantSplit/>
          <w:jc w:val="center"/>
        </w:trPr>
        <w:tc>
          <w:tcPr>
            <w:tcW w:w="3216" w:type="dxa"/>
            <w:vAlign w:val="center"/>
          </w:tcPr>
          <w:p w14:paraId="25D425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w:t>
            </w:r>
          </w:p>
        </w:tc>
        <w:tc>
          <w:tcPr>
            <w:tcW w:w="3216" w:type="dxa"/>
            <w:vAlign w:val="center"/>
          </w:tcPr>
          <w:p w14:paraId="569D16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Accountable for the appropriate use, quality and protection of a defined data asset.</w:t>
            </w:r>
          </w:p>
        </w:tc>
        <w:tc>
          <w:tcPr>
            <w:tcW w:w="3216" w:type="dxa"/>
            <w:vAlign w:val="center"/>
          </w:tcPr>
          <w:p w14:paraId="63804B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Approves definitions, access requirements and material changes.</w:t>
            </w:r>
          </w:p>
        </w:tc>
      </w:tr>
      <w:tr w:rsidR="009A4008" w:rsidRPr="009A4008" w14:paraId="063E0B8C" w14:textId="77777777" w:rsidTr="00B6247C">
        <w:trPr>
          <w:cantSplit/>
          <w:jc w:val="center"/>
        </w:trPr>
        <w:tc>
          <w:tcPr>
            <w:tcW w:w="3216" w:type="dxa"/>
            <w:vAlign w:val="center"/>
          </w:tcPr>
          <w:p w14:paraId="765471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3216" w:type="dxa"/>
            <w:vAlign w:val="center"/>
          </w:tcPr>
          <w:p w14:paraId="209BE3A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Maintains business meaning and resolves quality or identity issues.</w:t>
            </w:r>
          </w:p>
        </w:tc>
        <w:tc>
          <w:tcPr>
            <w:tcW w:w="3216" w:type="dxa"/>
            <w:vAlign w:val="center"/>
          </w:tcPr>
          <w:p w14:paraId="1778897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duplicate candidates, documents field definitions and resolves MDM queue items.</w:t>
            </w:r>
          </w:p>
        </w:tc>
      </w:tr>
      <w:tr w:rsidR="009A4008" w:rsidRPr="009A4008" w14:paraId="76CEB7A4" w14:textId="77777777" w:rsidTr="00B6247C">
        <w:trPr>
          <w:cantSplit/>
          <w:jc w:val="center"/>
        </w:trPr>
        <w:tc>
          <w:tcPr>
            <w:tcW w:w="3216" w:type="dxa"/>
            <w:vAlign w:val="center"/>
          </w:tcPr>
          <w:p w14:paraId="154DBC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3216" w:type="dxa"/>
            <w:vAlign w:val="center"/>
          </w:tcPr>
          <w:p w14:paraId="6249F38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Operates the database, technical controls and recovery processes.</w:t>
            </w:r>
          </w:p>
        </w:tc>
        <w:tc>
          <w:tcPr>
            <w:tcW w:w="3216" w:type="dxa"/>
            <w:vAlign w:val="center"/>
          </w:tcPr>
          <w:p w14:paraId="4A10851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Maintains accounts, schema, backups, permissions and scheduled jobs.</w:t>
            </w:r>
          </w:p>
        </w:tc>
      </w:tr>
      <w:tr w:rsidR="009A4008" w:rsidRPr="009A4008" w14:paraId="4194059C" w14:textId="77777777" w:rsidTr="00B6247C">
        <w:trPr>
          <w:cantSplit/>
          <w:jc w:val="center"/>
        </w:trPr>
        <w:tc>
          <w:tcPr>
            <w:tcW w:w="3216" w:type="dxa"/>
            <w:vAlign w:val="center"/>
          </w:tcPr>
          <w:p w14:paraId="73680B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representative</w:t>
            </w:r>
          </w:p>
        </w:tc>
        <w:tc>
          <w:tcPr>
            <w:tcW w:w="3216" w:type="dxa"/>
            <w:vAlign w:val="center"/>
          </w:tcPr>
          <w:p w14:paraId="7981E69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Confirms clinical meaning and operational requirements.</w:t>
            </w:r>
          </w:p>
        </w:tc>
        <w:tc>
          <w:tcPr>
            <w:tcW w:w="3216" w:type="dxa"/>
            <w:vAlign w:val="center"/>
          </w:tcPr>
          <w:p w14:paraId="0778D51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diagnosis definitions and the appropriate use of clinical information.</w:t>
            </w:r>
          </w:p>
        </w:tc>
      </w:tr>
      <w:tr w:rsidR="009A4008" w:rsidRPr="009A4008" w14:paraId="113489F0" w14:textId="77777777" w:rsidTr="00B6247C">
        <w:trPr>
          <w:cantSplit/>
          <w:jc w:val="center"/>
        </w:trPr>
        <w:tc>
          <w:tcPr>
            <w:tcW w:w="3216" w:type="dxa"/>
            <w:vAlign w:val="center"/>
          </w:tcPr>
          <w:p w14:paraId="66A810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Analyst</w:t>
            </w:r>
          </w:p>
        </w:tc>
        <w:tc>
          <w:tcPr>
            <w:tcW w:w="3216" w:type="dxa"/>
            <w:vAlign w:val="center"/>
          </w:tcPr>
          <w:p w14:paraId="58838A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Uses approved, appropriately de-identified warehouse data for reporting.</w:t>
            </w:r>
          </w:p>
        </w:tc>
        <w:tc>
          <w:tcPr>
            <w:tcW w:w="3216" w:type="dxa"/>
            <w:vAlign w:val="center"/>
          </w:tcPr>
          <w:p w14:paraId="49565CD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Produces attendance, diagnosis, revenue and trend reports.</w:t>
            </w:r>
          </w:p>
        </w:tc>
      </w:tr>
      <w:tr w:rsidR="009A4008" w:rsidRPr="009A4008" w14:paraId="56A21A4E" w14:textId="77777777" w:rsidTr="00B6247C">
        <w:trPr>
          <w:cantSplit/>
          <w:jc w:val="center"/>
        </w:trPr>
        <w:tc>
          <w:tcPr>
            <w:tcW w:w="3216" w:type="dxa"/>
            <w:vAlign w:val="center"/>
          </w:tcPr>
          <w:p w14:paraId="279C69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Reception user</w:t>
            </w:r>
          </w:p>
        </w:tc>
        <w:tc>
          <w:tcPr>
            <w:tcW w:w="3216" w:type="dxa"/>
            <w:vAlign w:val="center"/>
          </w:tcPr>
          <w:p w14:paraId="369748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Uses the limited patient directory needed for registration and service delivery.</w:t>
            </w:r>
          </w:p>
        </w:tc>
        <w:tc>
          <w:tcPr>
            <w:tcW w:w="3216" w:type="dxa"/>
            <w:vAlign w:val="center"/>
          </w:tcPr>
          <w:p w14:paraId="64C0E1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Searches the masked directory and refers identity conflicts for review.</w:t>
            </w:r>
          </w:p>
        </w:tc>
      </w:tr>
      <w:tr w:rsidR="009A4008" w:rsidRPr="009A4008" w14:paraId="5B83C945" w14:textId="77777777" w:rsidTr="00B6247C">
        <w:trPr>
          <w:cantSplit/>
          <w:jc w:val="center"/>
        </w:trPr>
        <w:tc>
          <w:tcPr>
            <w:tcW w:w="3216" w:type="dxa"/>
            <w:vAlign w:val="center"/>
          </w:tcPr>
          <w:p w14:paraId="23D8171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Auditor</w:t>
            </w:r>
          </w:p>
        </w:tc>
        <w:tc>
          <w:tcPr>
            <w:tcW w:w="3216" w:type="dxa"/>
            <w:vAlign w:val="center"/>
          </w:tcPr>
          <w:p w14:paraId="33FA0D9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Reviews evidence that policies and technical controls are operating.</w:t>
            </w:r>
          </w:p>
        </w:tc>
        <w:tc>
          <w:tcPr>
            <w:tcW w:w="3216" w:type="dxa"/>
            <w:vAlign w:val="center"/>
          </w:tcPr>
          <w:p w14:paraId="1AE843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Checks permissions, audit trails, compliance gaps and control-test results.</w:t>
            </w:r>
          </w:p>
        </w:tc>
      </w:tr>
    </w:tbl>
    <w:p w14:paraId="69CD4FE7" w14:textId="77777777" w:rsidR="009A4008" w:rsidRPr="009A4008" w:rsidRDefault="009A4008" w:rsidP="009A4008">
      <w:pPr>
        <w:rPr>
          <w:rFonts w:ascii="Times New Roman" w:hAnsi="Times New Roman" w:cs="Times New Roman"/>
          <w:sz w:val="22"/>
          <w:szCs w:val="22"/>
        </w:rPr>
      </w:pPr>
    </w:p>
    <w:p w14:paraId="047F4A1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3.3 RACI approach</w:t>
      </w:r>
    </w:p>
    <w:p w14:paraId="2249B01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raci table records who is Responsible, Accountable, Consulted and Informed for key activities. The sample in the brief covers approving a new source system, resolving a duplicate patient and granting data access. The final implementation should ensure that each activity has a clear accountable role and that responsibility is not left ambiguous. Where the brief uses combined values such as A/R, the group should explain the meaning consistently.</w:t>
      </w:r>
    </w:p>
    <w:tbl>
      <w:tblPr>
        <w:tblStyle w:val="TableGrid"/>
        <w:tblW w:w="0" w:type="auto"/>
        <w:jc w:val="center"/>
        <w:tblLook w:val="04A0" w:firstRow="1" w:lastRow="0" w:firstColumn="1" w:lastColumn="0" w:noHBand="0" w:noVBand="1"/>
      </w:tblPr>
      <w:tblGrid>
        <w:gridCol w:w="1926"/>
        <w:gridCol w:w="1927"/>
        <w:gridCol w:w="1928"/>
        <w:gridCol w:w="1929"/>
        <w:gridCol w:w="1928"/>
      </w:tblGrid>
      <w:tr w:rsidR="009A4008" w:rsidRPr="009A4008" w14:paraId="6E07F19F" w14:textId="77777777" w:rsidTr="00B6247C">
        <w:trPr>
          <w:cantSplit/>
          <w:jc w:val="center"/>
        </w:trPr>
        <w:tc>
          <w:tcPr>
            <w:tcW w:w="1930" w:type="dxa"/>
            <w:shd w:val="clear" w:color="auto" w:fill="EDEDED"/>
            <w:vAlign w:val="center"/>
          </w:tcPr>
          <w:p w14:paraId="7FF53F7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Activity</w:t>
            </w:r>
          </w:p>
        </w:tc>
        <w:tc>
          <w:tcPr>
            <w:tcW w:w="1930" w:type="dxa"/>
            <w:shd w:val="clear" w:color="auto" w:fill="EDEDED"/>
            <w:vAlign w:val="center"/>
          </w:tcPr>
          <w:p w14:paraId="7E91962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Responsible</w:t>
            </w:r>
          </w:p>
        </w:tc>
        <w:tc>
          <w:tcPr>
            <w:tcW w:w="1930" w:type="dxa"/>
            <w:shd w:val="clear" w:color="auto" w:fill="EDEDED"/>
            <w:vAlign w:val="center"/>
          </w:tcPr>
          <w:p w14:paraId="3239ED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Accountable</w:t>
            </w:r>
          </w:p>
        </w:tc>
        <w:tc>
          <w:tcPr>
            <w:tcW w:w="1930" w:type="dxa"/>
            <w:shd w:val="clear" w:color="auto" w:fill="EDEDED"/>
            <w:vAlign w:val="center"/>
          </w:tcPr>
          <w:p w14:paraId="735801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Consulted</w:t>
            </w:r>
          </w:p>
        </w:tc>
        <w:tc>
          <w:tcPr>
            <w:tcW w:w="1930" w:type="dxa"/>
            <w:shd w:val="clear" w:color="auto" w:fill="EDEDED"/>
            <w:vAlign w:val="center"/>
          </w:tcPr>
          <w:p w14:paraId="123749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Informed</w:t>
            </w:r>
          </w:p>
        </w:tc>
      </w:tr>
      <w:tr w:rsidR="009A4008" w:rsidRPr="009A4008" w14:paraId="5A86981D" w14:textId="77777777" w:rsidTr="00B6247C">
        <w:trPr>
          <w:cantSplit/>
          <w:jc w:val="center"/>
        </w:trPr>
        <w:tc>
          <w:tcPr>
            <w:tcW w:w="1930" w:type="dxa"/>
            <w:vAlign w:val="center"/>
          </w:tcPr>
          <w:p w14:paraId="41CD4E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Approve a new source system</w:t>
            </w:r>
          </w:p>
        </w:tc>
        <w:tc>
          <w:tcPr>
            <w:tcW w:w="1930" w:type="dxa"/>
            <w:vAlign w:val="center"/>
          </w:tcPr>
          <w:p w14:paraId="7C4D75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4297725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Governance lead/CDO role</w:t>
            </w:r>
          </w:p>
        </w:tc>
        <w:tc>
          <w:tcPr>
            <w:tcW w:w="1930" w:type="dxa"/>
            <w:vAlign w:val="center"/>
          </w:tcPr>
          <w:p w14:paraId="470A2AA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1930" w:type="dxa"/>
            <w:vAlign w:val="center"/>
          </w:tcPr>
          <w:p w14:paraId="6C141C1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representative</w:t>
            </w:r>
          </w:p>
        </w:tc>
      </w:tr>
      <w:tr w:rsidR="009A4008" w:rsidRPr="009A4008" w14:paraId="278B29A7" w14:textId="77777777" w:rsidTr="00B6247C">
        <w:trPr>
          <w:cantSplit/>
          <w:jc w:val="center"/>
        </w:trPr>
        <w:tc>
          <w:tcPr>
            <w:tcW w:w="1930" w:type="dxa"/>
            <w:vAlign w:val="center"/>
          </w:tcPr>
          <w:p w14:paraId="788670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Resolve a duplicate patient</w:t>
            </w:r>
          </w:p>
        </w:tc>
        <w:tc>
          <w:tcPr>
            <w:tcW w:w="1930" w:type="dxa"/>
            <w:vAlign w:val="center"/>
          </w:tcPr>
          <w:p w14:paraId="58A2EB6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7D2E84D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 or nominated owner</w:t>
            </w:r>
          </w:p>
        </w:tc>
        <w:tc>
          <w:tcPr>
            <w:tcW w:w="1930" w:type="dxa"/>
            <w:vAlign w:val="center"/>
          </w:tcPr>
          <w:p w14:paraId="7CAB40E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 and clinician where needed</w:t>
            </w:r>
          </w:p>
        </w:tc>
        <w:tc>
          <w:tcPr>
            <w:tcW w:w="1930" w:type="dxa"/>
            <w:vAlign w:val="center"/>
          </w:tcPr>
          <w:p w14:paraId="50E620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Relevant source owner</w:t>
            </w:r>
          </w:p>
        </w:tc>
      </w:tr>
      <w:tr w:rsidR="009A4008" w:rsidRPr="009A4008" w14:paraId="788D1E61" w14:textId="77777777" w:rsidTr="00B6247C">
        <w:trPr>
          <w:cantSplit/>
          <w:jc w:val="center"/>
        </w:trPr>
        <w:tc>
          <w:tcPr>
            <w:tcW w:w="1930" w:type="dxa"/>
            <w:vAlign w:val="center"/>
          </w:tcPr>
          <w:p w14:paraId="20C9AC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Grant database access</w:t>
            </w:r>
          </w:p>
        </w:tc>
        <w:tc>
          <w:tcPr>
            <w:tcW w:w="1930" w:type="dxa"/>
            <w:vAlign w:val="center"/>
          </w:tcPr>
          <w:p w14:paraId="73EDA8F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w:t>
            </w:r>
          </w:p>
        </w:tc>
        <w:tc>
          <w:tcPr>
            <w:tcW w:w="1930" w:type="dxa"/>
            <w:vAlign w:val="center"/>
          </w:tcPr>
          <w:p w14:paraId="7F77DC5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Authorized data owner</w:t>
            </w:r>
          </w:p>
        </w:tc>
        <w:tc>
          <w:tcPr>
            <w:tcW w:w="1930" w:type="dxa"/>
            <w:vAlign w:val="center"/>
          </w:tcPr>
          <w:p w14:paraId="344D539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158DB6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Requesting manager</w:t>
            </w:r>
          </w:p>
        </w:tc>
      </w:tr>
      <w:tr w:rsidR="009A4008" w:rsidRPr="009A4008" w14:paraId="3FD362C8" w14:textId="77777777" w:rsidTr="00B6247C">
        <w:trPr>
          <w:cantSplit/>
          <w:jc w:val="center"/>
        </w:trPr>
        <w:tc>
          <w:tcPr>
            <w:tcW w:w="1930" w:type="dxa"/>
            <w:vAlign w:val="center"/>
          </w:tcPr>
          <w:p w14:paraId="58D3686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Approve a definition change</w:t>
            </w:r>
          </w:p>
        </w:tc>
        <w:tc>
          <w:tcPr>
            <w:tcW w:w="1930" w:type="dxa"/>
            <w:vAlign w:val="center"/>
          </w:tcPr>
          <w:p w14:paraId="4158DF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w:t>
            </w:r>
          </w:p>
        </w:tc>
        <w:tc>
          <w:tcPr>
            <w:tcW w:w="1930" w:type="dxa"/>
            <w:vAlign w:val="center"/>
          </w:tcPr>
          <w:p w14:paraId="099477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w:t>
            </w:r>
          </w:p>
        </w:tc>
        <w:tc>
          <w:tcPr>
            <w:tcW w:w="1930" w:type="dxa"/>
            <w:vAlign w:val="center"/>
          </w:tcPr>
          <w:p w14:paraId="1FC2A7A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Clinical/finance subject expert</w:t>
            </w:r>
          </w:p>
        </w:tc>
        <w:tc>
          <w:tcPr>
            <w:tcW w:w="1930" w:type="dxa"/>
            <w:vAlign w:val="center"/>
          </w:tcPr>
          <w:p w14:paraId="09A5FC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Analysts and affected users</w:t>
            </w:r>
          </w:p>
        </w:tc>
      </w:tr>
      <w:tr w:rsidR="009A4008" w:rsidRPr="009A4008" w14:paraId="60C51EBC" w14:textId="77777777" w:rsidTr="00B6247C">
        <w:trPr>
          <w:cantSplit/>
          <w:jc w:val="center"/>
        </w:trPr>
        <w:tc>
          <w:tcPr>
            <w:tcW w:w="1930" w:type="dxa"/>
            <w:vAlign w:val="center"/>
          </w:tcPr>
          <w:p w14:paraId="2B816EA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 a privacy incident</w:t>
            </w:r>
          </w:p>
        </w:tc>
        <w:tc>
          <w:tcPr>
            <w:tcW w:w="1930" w:type="dxa"/>
            <w:vAlign w:val="center"/>
          </w:tcPr>
          <w:p w14:paraId="1F7F720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Incident response lead</w:t>
            </w:r>
          </w:p>
        </w:tc>
        <w:tc>
          <w:tcPr>
            <w:tcW w:w="1930" w:type="dxa"/>
            <w:vAlign w:val="center"/>
          </w:tcPr>
          <w:p w14:paraId="77477E6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Designated senior owner</w:t>
            </w:r>
          </w:p>
        </w:tc>
        <w:tc>
          <w:tcPr>
            <w:tcW w:w="1930" w:type="dxa"/>
            <w:vAlign w:val="center"/>
          </w:tcPr>
          <w:p w14:paraId="0CC9A7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IT custodian, data protection contact</w:t>
            </w:r>
          </w:p>
        </w:tc>
        <w:tc>
          <w:tcPr>
            <w:tcW w:w="1930" w:type="dxa"/>
            <w:vAlign w:val="center"/>
          </w:tcPr>
          <w:p w14:paraId="2F3D612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Affected stakeholders as required</w:t>
            </w:r>
          </w:p>
        </w:tc>
      </w:tr>
    </w:tbl>
    <w:p w14:paraId="0538FF06" w14:textId="77777777" w:rsidR="009A4008" w:rsidRPr="009A4008" w:rsidRDefault="009A4008" w:rsidP="009A4008">
      <w:pPr>
        <w:rPr>
          <w:rFonts w:ascii="Times New Roman" w:hAnsi="Times New Roman" w:cs="Times New Roman"/>
          <w:sz w:val="22"/>
          <w:szCs w:val="22"/>
        </w:rPr>
      </w:pPr>
    </w:p>
    <w:p w14:paraId="769C2BC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This table is a readable governance proposal. It should be aligned with the values entered into the raci table in MySQL so the report and database do not contradict one another.</w:t>
      </w:r>
    </w:p>
    <w:p w14:paraId="604907C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3.4 Policies</w:t>
      </w:r>
    </w:p>
    <w:p w14:paraId="6CBD2374"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Patient Identity Policy</w:t>
      </w:r>
    </w:p>
    <w:p w14:paraId="2F060D2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Every patient should have one master record. Telephone numbers are normalized and used as the primary match key, but a telephone match alone should not silently overwrite conflicting identity information. Contact details such as telephone and email follow the most recently updated source rule. Conflicts involving name, date of birth or sex are routed to the data steward. Each source record remains traceable through patient_source_links.</w:t>
      </w:r>
    </w:p>
    <w:p w14:paraId="16328BB9"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Access Control Policy</w:t>
      </w:r>
    </w:p>
    <w:p w14:paraId="2C26FEC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Access is granted according to job responsibility and the principle of least privilege. Reception users access the masked directory, </w:t>
      </w:r>
      <w:proofErr w:type="gramStart"/>
      <w:r w:rsidRPr="009A4008">
        <w:rPr>
          <w:rFonts w:ascii="Times New Roman" w:hAnsi="Times New Roman" w:cs="Times New Roman"/>
          <w:sz w:val="22"/>
          <w:szCs w:val="22"/>
        </w:rPr>
        <w:t>clinicians</w:t>
      </w:r>
      <w:proofErr w:type="gramEnd"/>
      <w:r w:rsidRPr="009A4008">
        <w:rPr>
          <w:rFonts w:ascii="Times New Roman" w:hAnsi="Times New Roman" w:cs="Times New Roman"/>
          <w:sz w:val="22"/>
          <w:szCs w:val="22"/>
        </w:rPr>
        <w:t xml:space="preserve"> access full patient records only when authorized, analysts access de-identified warehouse data, and auditors receive read access to the evidence necessary for review. Shared accounts should be avoided, credentials should not be embedded in source code, and access should be reviewed when a user's responsibilities change.</w:t>
      </w:r>
    </w:p>
    <w:p w14:paraId="6F096944" w14:textId="77777777" w:rsidR="009A4008" w:rsidRPr="009A4008" w:rsidRDefault="009A4008" w:rsidP="009A4008">
      <w:pPr>
        <w:pStyle w:val="Heading3"/>
        <w:rPr>
          <w:rFonts w:ascii="Times New Roman" w:hAnsi="Times New Roman" w:cs="Times New Roman"/>
        </w:rPr>
      </w:pPr>
      <w:r w:rsidRPr="009A4008">
        <w:rPr>
          <w:rFonts w:ascii="Times New Roman" w:hAnsi="Times New Roman" w:cs="Times New Roman"/>
        </w:rPr>
        <w:t>Retention Policy</w:t>
      </w:r>
    </w:p>
    <w:p w14:paraId="5718466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data_lifecycle_policy register defines retention periods, archive timing, lawful basis and ownership for each data class. The sample values in the brief specify clinical data retained for 10 years with archiving after 7 years, billing data retained for 7 years with archiving after 5 years, and marketing-consent data retained for 2 years with archiving after 1 year. </w:t>
      </w:r>
    </w:p>
    <w:p w14:paraId="595171B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3.5 Compliance register and governance review</w:t>
      </w:r>
    </w:p>
    <w:p w14:paraId="2484A8A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compliance_register table begins with example gaps, including National ID plaintext in Legacy A and the absence of a breach-notification procedure. The register should be updated with the actual status after controls are implemented. A gap should be marked CLOSED only when evidence demonstrates that the required control operates. A planned fix or a SQL statement that has not been tested is not sufficient evidence of closure.</w:t>
      </w:r>
    </w:p>
    <w:p w14:paraId="10474F2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brief references the Uganda Data Protection and Privacy Act and also uses GDPR examples for mapping selected requirements. The final compliance assessment should distinguish the legal requirements applicable to MediLink from comparative GDPR references. This strategy does not replace legal advice or a formal review by the organization's data protection lead.</w:t>
      </w:r>
    </w:p>
    <w:p w14:paraId="1AB4A3B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4. Target Architecture and Data Model</w:t>
      </w:r>
    </w:p>
    <w:p w14:paraId="1EF9C32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4.1 Architecture decision</w:t>
      </w:r>
    </w:p>
    <w:p w14:paraId="6EC08BE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proposed architecture is hub-and-spoke. The source systems are the spokes, and the central MySQL platform is the hub. Source data is first loaded into staging, where it can be profiled and cleaned without overwriting the original source values. Standardized data is reconciled into the master patient record, operational visits and billing remain linked through relational keys, and curated data is loaded into a dimensional warehouse for analysis.</w:t>
      </w:r>
    </w:p>
    <w:p w14:paraId="6BC4FE5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hub-and-spoke model is appropriate for the scenario because the clinics have separate source systems and different data quality practices, but the network needs a single consistent view of patients and reporting. A fully decentralized design would leave the network dependent on separate definitions and manual reconciliation. A centralized approach without staging and source lineage could make it harder to trace errors back to their origin. The proposed design keeps source identity and transformation history visible while providing a shared master and reporting layer.</w:t>
      </w:r>
    </w:p>
    <w:p w14:paraId="7F5EBB4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target flow is: source systems and paper records → staging </w:t>
      </w:r>
      <w:proofErr w:type="gramStart"/>
      <w:r w:rsidRPr="009A4008">
        <w:rPr>
          <w:rFonts w:ascii="Times New Roman" w:hAnsi="Times New Roman" w:cs="Times New Roman"/>
          <w:sz w:val="22"/>
          <w:szCs w:val="22"/>
        </w:rPr>
        <w:t>tables</w:t>
      </w:r>
      <w:proofErr w:type="gramEnd"/>
      <w:r w:rsidRPr="009A4008">
        <w:rPr>
          <w:rFonts w:ascii="Times New Roman" w:hAnsi="Times New Roman" w:cs="Times New Roman"/>
          <w:sz w:val="22"/>
          <w:szCs w:val="22"/>
        </w:rPr>
        <w:t xml:space="preserve"> → standardization and data quality checks → MDM and golden records → operational data and billing → dimensional warehouse → SQL reports and Power BI or Tableau.</w:t>
      </w:r>
    </w:p>
    <w:p w14:paraId="7042907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4.2 Core relational schema</w:t>
      </w:r>
    </w:p>
    <w:tbl>
      <w:tblPr>
        <w:tblStyle w:val="TableGrid"/>
        <w:tblW w:w="0" w:type="auto"/>
        <w:jc w:val="center"/>
        <w:tblLook w:val="04A0" w:firstRow="1" w:lastRow="0" w:firstColumn="1" w:lastColumn="0" w:noHBand="0" w:noVBand="1"/>
      </w:tblPr>
      <w:tblGrid>
        <w:gridCol w:w="4820"/>
        <w:gridCol w:w="4818"/>
      </w:tblGrid>
      <w:tr w:rsidR="009A4008" w:rsidRPr="009A4008" w14:paraId="6A5BC0CC" w14:textId="77777777" w:rsidTr="00B6247C">
        <w:trPr>
          <w:cantSplit/>
          <w:jc w:val="center"/>
        </w:trPr>
        <w:tc>
          <w:tcPr>
            <w:tcW w:w="4824" w:type="dxa"/>
            <w:shd w:val="clear" w:color="auto" w:fill="EDEDED"/>
            <w:vAlign w:val="center"/>
          </w:tcPr>
          <w:p w14:paraId="44AE10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Table</w:t>
            </w:r>
          </w:p>
        </w:tc>
        <w:tc>
          <w:tcPr>
            <w:tcW w:w="4824" w:type="dxa"/>
            <w:shd w:val="clear" w:color="auto" w:fill="EDEDED"/>
            <w:vAlign w:val="center"/>
          </w:tcPr>
          <w:p w14:paraId="64BE0F3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Purpose</w:t>
            </w:r>
          </w:p>
        </w:tc>
      </w:tr>
      <w:tr w:rsidR="009A4008" w:rsidRPr="009A4008" w14:paraId="35B8188C" w14:textId="77777777" w:rsidTr="00B6247C">
        <w:trPr>
          <w:cantSplit/>
          <w:jc w:val="center"/>
        </w:trPr>
        <w:tc>
          <w:tcPr>
            <w:tcW w:w="4824" w:type="dxa"/>
            <w:vAlign w:val="center"/>
          </w:tcPr>
          <w:p w14:paraId="5D0034F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Clinics</w:t>
            </w:r>
          </w:p>
        </w:tc>
        <w:tc>
          <w:tcPr>
            <w:tcW w:w="4824" w:type="dxa"/>
            <w:vAlign w:val="center"/>
          </w:tcPr>
          <w:p w14:paraId="6BFBCB6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Stores clinic code, name and district for the four MediLink locations.</w:t>
            </w:r>
          </w:p>
        </w:tc>
      </w:tr>
      <w:tr w:rsidR="009A4008" w:rsidRPr="009A4008" w14:paraId="072ADFA3" w14:textId="77777777" w:rsidTr="00B6247C">
        <w:trPr>
          <w:cantSplit/>
          <w:jc w:val="center"/>
        </w:trPr>
        <w:tc>
          <w:tcPr>
            <w:tcW w:w="4824" w:type="dxa"/>
            <w:vAlign w:val="center"/>
          </w:tcPr>
          <w:p w14:paraId="729287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w:t>
            </w:r>
          </w:p>
        </w:tc>
        <w:tc>
          <w:tcPr>
            <w:tcW w:w="4824" w:type="dxa"/>
            <w:vAlign w:val="center"/>
          </w:tcPr>
          <w:p w14:paraId="7A6EC9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Stores staff names, roles and clinic association.</w:t>
            </w:r>
          </w:p>
        </w:tc>
      </w:tr>
      <w:tr w:rsidR="009A4008" w:rsidRPr="009A4008" w14:paraId="66EED4C8" w14:textId="77777777" w:rsidTr="00B6247C">
        <w:trPr>
          <w:cantSplit/>
          <w:jc w:val="center"/>
        </w:trPr>
        <w:tc>
          <w:tcPr>
            <w:tcW w:w="4824" w:type="dxa"/>
            <w:vAlign w:val="center"/>
          </w:tcPr>
          <w:p w14:paraId="12D225C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m_patient</w:t>
            </w:r>
          </w:p>
        </w:tc>
        <w:tc>
          <w:tcPr>
            <w:tcW w:w="4824" w:type="dxa"/>
            <w:vAlign w:val="center"/>
          </w:tcPr>
          <w:p w14:paraId="23008B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Central master patient record, including normalized phone, identity attributes, status and National ID hash field.</w:t>
            </w:r>
          </w:p>
        </w:tc>
      </w:tr>
      <w:tr w:rsidR="009A4008" w:rsidRPr="009A4008" w14:paraId="3A9A4D53" w14:textId="77777777" w:rsidTr="00B6247C">
        <w:trPr>
          <w:cantSplit/>
          <w:jc w:val="center"/>
        </w:trPr>
        <w:tc>
          <w:tcPr>
            <w:tcW w:w="4824" w:type="dxa"/>
            <w:vAlign w:val="center"/>
          </w:tcPr>
          <w:p w14:paraId="7365FBB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patient_source_links</w:t>
            </w:r>
          </w:p>
        </w:tc>
        <w:tc>
          <w:tcPr>
            <w:tcW w:w="4824" w:type="dxa"/>
            <w:vAlign w:val="center"/>
          </w:tcPr>
          <w:p w14:paraId="2A7737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Crosswalk between each source record and its master patient_key, with matching method and confidence.</w:t>
            </w:r>
          </w:p>
        </w:tc>
      </w:tr>
      <w:tr w:rsidR="009A4008" w:rsidRPr="009A4008" w14:paraId="174F0149" w14:textId="77777777" w:rsidTr="00B6247C">
        <w:trPr>
          <w:cantSplit/>
          <w:jc w:val="center"/>
        </w:trPr>
        <w:tc>
          <w:tcPr>
            <w:tcW w:w="4824" w:type="dxa"/>
            <w:vAlign w:val="center"/>
          </w:tcPr>
          <w:p w14:paraId="4C9538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Visits</w:t>
            </w:r>
          </w:p>
        </w:tc>
        <w:tc>
          <w:tcPr>
            <w:tcW w:w="4824" w:type="dxa"/>
            <w:vAlign w:val="center"/>
          </w:tcPr>
          <w:p w14:paraId="13AE0D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Operational visit records linked to a patient, clinic and staff member where available.</w:t>
            </w:r>
          </w:p>
        </w:tc>
      </w:tr>
      <w:tr w:rsidR="009A4008" w:rsidRPr="009A4008" w14:paraId="28A7B3F9" w14:textId="77777777" w:rsidTr="00B6247C">
        <w:trPr>
          <w:cantSplit/>
          <w:jc w:val="center"/>
        </w:trPr>
        <w:tc>
          <w:tcPr>
            <w:tcW w:w="4824" w:type="dxa"/>
            <w:vAlign w:val="center"/>
          </w:tcPr>
          <w:p w14:paraId="4CF10E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Billing</w:t>
            </w:r>
          </w:p>
        </w:tc>
        <w:tc>
          <w:tcPr>
            <w:tcW w:w="4824" w:type="dxa"/>
            <w:vAlign w:val="center"/>
          </w:tcPr>
          <w:p w14:paraId="56D0F0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Service-level charges and payment mode linked to a visit.</w:t>
            </w:r>
          </w:p>
        </w:tc>
      </w:tr>
      <w:tr w:rsidR="009A4008" w:rsidRPr="009A4008" w14:paraId="0B073BDE" w14:textId="77777777" w:rsidTr="00B6247C">
        <w:trPr>
          <w:cantSplit/>
          <w:jc w:val="center"/>
        </w:trPr>
        <w:tc>
          <w:tcPr>
            <w:tcW w:w="4824" w:type="dxa"/>
            <w:vAlign w:val="center"/>
          </w:tcPr>
          <w:p w14:paraId="44B01DE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stg_legacy_a</w:t>
            </w:r>
          </w:p>
        </w:tc>
        <w:tc>
          <w:tcPr>
            <w:tcW w:w="4824" w:type="dxa"/>
            <w:vAlign w:val="center"/>
          </w:tcPr>
          <w:p w14:paraId="337783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Staging for the older clinic database, retaining raw name, phone, gender, DOB and National ID fields during controlled processing.</w:t>
            </w:r>
          </w:p>
        </w:tc>
      </w:tr>
      <w:tr w:rsidR="009A4008" w:rsidRPr="009A4008" w14:paraId="66DFB798" w14:textId="77777777" w:rsidTr="00B6247C">
        <w:trPr>
          <w:cantSplit/>
          <w:jc w:val="center"/>
        </w:trPr>
        <w:tc>
          <w:tcPr>
            <w:tcW w:w="4824" w:type="dxa"/>
            <w:vAlign w:val="center"/>
          </w:tcPr>
          <w:p w14:paraId="2F906D9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stg_legacy_b</w:t>
            </w:r>
          </w:p>
        </w:tc>
        <w:tc>
          <w:tcPr>
            <w:tcW w:w="4824" w:type="dxa"/>
            <w:vAlign w:val="center"/>
          </w:tcPr>
          <w:p w14:paraId="52C83D2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Staging for online booking data, including phone, email, sex, date of birth and source update date.</w:t>
            </w:r>
          </w:p>
        </w:tc>
      </w:tr>
      <w:tr w:rsidR="009A4008" w:rsidRPr="009A4008" w14:paraId="7BE16795" w14:textId="77777777" w:rsidTr="00B6247C">
        <w:trPr>
          <w:cantSplit/>
          <w:jc w:val="center"/>
        </w:trPr>
        <w:tc>
          <w:tcPr>
            <w:tcW w:w="4824" w:type="dxa"/>
            <w:vAlign w:val="center"/>
          </w:tcPr>
          <w:p w14:paraId="2F9330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mdm_review_queue</w:t>
            </w:r>
          </w:p>
        </w:tc>
        <w:tc>
          <w:tcPr>
            <w:tcW w:w="4824" w:type="dxa"/>
            <w:vAlign w:val="center"/>
          </w:tcPr>
          <w:p w14:paraId="3CBEB9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Records source rows requiring steward review, including rows that cannot be matched safely.</w:t>
            </w:r>
          </w:p>
        </w:tc>
      </w:tr>
      <w:tr w:rsidR="009A4008" w:rsidRPr="009A4008" w14:paraId="1836B209" w14:textId="77777777" w:rsidTr="00B6247C">
        <w:trPr>
          <w:cantSplit/>
          <w:jc w:val="center"/>
        </w:trPr>
        <w:tc>
          <w:tcPr>
            <w:tcW w:w="4824" w:type="dxa"/>
            <w:vAlign w:val="center"/>
          </w:tcPr>
          <w:p w14:paraId="114FA7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master_audit</w:t>
            </w:r>
          </w:p>
        </w:tc>
        <w:tc>
          <w:tcPr>
            <w:tcW w:w="4824" w:type="dxa"/>
            <w:vAlign w:val="center"/>
          </w:tcPr>
          <w:p w14:paraId="37DF9A7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Audit trail for changes to the master patient record.</w:t>
            </w:r>
          </w:p>
        </w:tc>
      </w:tr>
    </w:tbl>
    <w:p w14:paraId="0558CA15" w14:textId="77777777" w:rsidR="009A4008" w:rsidRPr="009A4008" w:rsidRDefault="009A4008" w:rsidP="009A4008">
      <w:pPr>
        <w:rPr>
          <w:rFonts w:ascii="Times New Roman" w:hAnsi="Times New Roman" w:cs="Times New Roman"/>
          <w:sz w:val="22"/>
          <w:szCs w:val="22"/>
        </w:rPr>
      </w:pPr>
    </w:p>
    <w:p w14:paraId="3A4D2DB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core schema should use primary and foreign keys to preserve referential integrity. The brief describes m_patient as a third normal form design because patient_key determines the patient's attributes, while visits and billing are held separately. </w:t>
      </w:r>
    </w:p>
    <w:p w14:paraId="3DDEC3A1" w14:textId="77777777" w:rsidR="009A4008" w:rsidRPr="009A4008" w:rsidRDefault="009A4008" w:rsidP="009A4008">
      <w:pPr>
        <w:rPr>
          <w:rFonts w:ascii="Times New Roman" w:hAnsi="Times New Roman" w:cs="Times New Roman"/>
          <w:sz w:val="22"/>
          <w:szCs w:val="22"/>
        </w:rPr>
      </w:pPr>
    </w:p>
    <w:p w14:paraId="2603D9A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4.3 Warehouse schema</w:t>
      </w:r>
    </w:p>
    <w:tbl>
      <w:tblPr>
        <w:tblStyle w:val="TableGrid"/>
        <w:tblW w:w="0" w:type="auto"/>
        <w:jc w:val="center"/>
        <w:tblLook w:val="04A0" w:firstRow="1" w:lastRow="0" w:firstColumn="1" w:lastColumn="0" w:noHBand="0" w:noVBand="1"/>
      </w:tblPr>
      <w:tblGrid>
        <w:gridCol w:w="4819"/>
        <w:gridCol w:w="4819"/>
      </w:tblGrid>
      <w:tr w:rsidR="009A4008" w:rsidRPr="009A4008" w14:paraId="761CB8BF" w14:textId="77777777" w:rsidTr="00B6247C">
        <w:trPr>
          <w:cantSplit/>
          <w:jc w:val="center"/>
        </w:trPr>
        <w:tc>
          <w:tcPr>
            <w:tcW w:w="4824" w:type="dxa"/>
            <w:shd w:val="clear" w:color="auto" w:fill="EDEDED"/>
            <w:vAlign w:val="center"/>
          </w:tcPr>
          <w:p w14:paraId="7CC166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Warehouse object</w:t>
            </w:r>
          </w:p>
        </w:tc>
        <w:tc>
          <w:tcPr>
            <w:tcW w:w="4824" w:type="dxa"/>
            <w:shd w:val="clear" w:color="auto" w:fill="EDEDED"/>
            <w:vAlign w:val="center"/>
          </w:tcPr>
          <w:p w14:paraId="2292D5B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 in reporting</w:t>
            </w:r>
          </w:p>
        </w:tc>
      </w:tr>
      <w:tr w:rsidR="009A4008" w:rsidRPr="009A4008" w14:paraId="0AEFCA57" w14:textId="77777777" w:rsidTr="00B6247C">
        <w:trPr>
          <w:cantSplit/>
          <w:jc w:val="center"/>
        </w:trPr>
        <w:tc>
          <w:tcPr>
            <w:tcW w:w="4824" w:type="dxa"/>
            <w:vAlign w:val="center"/>
          </w:tcPr>
          <w:p w14:paraId="46E862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dim_clinic</w:t>
            </w:r>
          </w:p>
        </w:tc>
        <w:tc>
          <w:tcPr>
            <w:tcW w:w="4824" w:type="dxa"/>
            <w:vAlign w:val="center"/>
          </w:tcPr>
          <w:p w14:paraId="5C0D728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descriptive attributes, including clinic name and district.</w:t>
            </w:r>
          </w:p>
        </w:tc>
      </w:tr>
      <w:tr w:rsidR="009A4008" w:rsidRPr="009A4008" w14:paraId="4D70C233" w14:textId="77777777" w:rsidTr="00B6247C">
        <w:trPr>
          <w:cantSplit/>
          <w:jc w:val="center"/>
        </w:trPr>
        <w:tc>
          <w:tcPr>
            <w:tcW w:w="4824" w:type="dxa"/>
            <w:vAlign w:val="center"/>
          </w:tcPr>
          <w:p w14:paraId="2C3213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dim_patient</w:t>
            </w:r>
          </w:p>
        </w:tc>
        <w:tc>
          <w:tcPr>
            <w:tcW w:w="4824" w:type="dxa"/>
            <w:vAlign w:val="center"/>
          </w:tcPr>
          <w:p w14:paraId="18248E3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patient analysis attributes, including sex, age band and home district.</w:t>
            </w:r>
          </w:p>
        </w:tc>
      </w:tr>
      <w:tr w:rsidR="009A4008" w:rsidRPr="009A4008" w14:paraId="7E57E7ED" w14:textId="77777777" w:rsidTr="00B6247C">
        <w:trPr>
          <w:cantSplit/>
          <w:jc w:val="center"/>
        </w:trPr>
        <w:tc>
          <w:tcPr>
            <w:tcW w:w="4824" w:type="dxa"/>
            <w:vAlign w:val="center"/>
          </w:tcPr>
          <w:p w14:paraId="79D6FF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dim_date</w:t>
            </w:r>
          </w:p>
        </w:tc>
        <w:tc>
          <w:tcPr>
            <w:tcW w:w="4824" w:type="dxa"/>
            <w:vAlign w:val="center"/>
          </w:tcPr>
          <w:p w14:paraId="481F930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Calendar attributes used for month, quarter, year and day-based reporting.</w:t>
            </w:r>
          </w:p>
        </w:tc>
      </w:tr>
      <w:tr w:rsidR="009A4008" w:rsidRPr="009A4008" w14:paraId="38811BF8" w14:textId="77777777" w:rsidTr="00B6247C">
        <w:trPr>
          <w:cantSplit/>
          <w:jc w:val="center"/>
        </w:trPr>
        <w:tc>
          <w:tcPr>
            <w:tcW w:w="4824" w:type="dxa"/>
            <w:vAlign w:val="center"/>
          </w:tcPr>
          <w:p w14:paraId="0D69696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fact_visits</w:t>
            </w:r>
          </w:p>
        </w:tc>
        <w:tc>
          <w:tcPr>
            <w:tcW w:w="4824" w:type="dxa"/>
            <w:vAlign w:val="center"/>
          </w:tcPr>
          <w:p w14:paraId="1FFC98D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 row per visit, with clinic and patient dimension keys, visit type, diagnosis and service-level amounts.</w:t>
            </w:r>
          </w:p>
        </w:tc>
      </w:tr>
    </w:tbl>
    <w:p w14:paraId="4C1AD016" w14:textId="77777777" w:rsidR="009A4008" w:rsidRPr="009A4008" w:rsidRDefault="009A4008" w:rsidP="009A4008">
      <w:pPr>
        <w:rPr>
          <w:rFonts w:ascii="Times New Roman" w:hAnsi="Times New Roman" w:cs="Times New Roman"/>
          <w:sz w:val="22"/>
          <w:szCs w:val="22"/>
        </w:rPr>
      </w:pPr>
    </w:p>
    <w:p w14:paraId="3BADB16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warehouse follows a star-schema pattern. The fact table records measurable visit activity and revenue, while the dimension tables provide descriptive context for grouping and filtering. The brief's fill_dim_date procedure is intended to populate the date dimension. The ETL process should load dimensions before the fact table and should check that every fact row resolves to valid dimension records.</w:t>
      </w:r>
    </w:p>
    <w:p w14:paraId="117BE5A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source SQL defines amounts for consultation, laboratory services, medication and total billing. If the management dashboard must report revenue by every service, the implementation should preserve service-level detail or document a reliable transformation from billing rows. The brief's sample revenue-by-payment-mode query uses a placeholder payment mode and notes that the fact table would need extending. That query must be corrected before it can be treated as a valid result.</w:t>
      </w:r>
    </w:p>
    <w:p w14:paraId="59272A9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4.4 Architecture and ERD evidence</w:t>
      </w:r>
    </w:p>
    <w:p w14:paraId="4E98B4CC" w14:textId="77777777" w:rsidR="009A4008" w:rsidRPr="009A4008" w:rsidRDefault="009A4008" w:rsidP="009A4008">
      <w:pPr>
        <w:rPr>
          <w:rFonts w:ascii="Times New Roman" w:hAnsi="Times New Roman" w:cs="Times New Roman"/>
          <w:sz w:val="22"/>
          <w:szCs w:val="22"/>
        </w:rPr>
      </w:pPr>
      <w:proofErr w:type="gramStart"/>
      <w:r w:rsidRPr="009A4008">
        <w:rPr>
          <w:rFonts w:ascii="Times New Roman" w:hAnsi="Times New Roman" w:cs="Times New Roman"/>
          <w:sz w:val="22"/>
          <w:szCs w:val="22"/>
        </w:rPr>
        <w:t>[ Insert</w:t>
      </w:r>
      <w:proofErr w:type="gramEnd"/>
      <w:r w:rsidRPr="009A4008">
        <w:rPr>
          <w:rFonts w:ascii="Times New Roman" w:hAnsi="Times New Roman" w:cs="Times New Roman"/>
          <w:sz w:val="22"/>
          <w:szCs w:val="22"/>
        </w:rPr>
        <w:t xml:space="preserve"> the completed architecture diagram and ERD in the final submission or include them as numbered figures with captions. The architecture diagram should identify sources, staging, cleansing, MDM, the master database, warehouse and BI/reporting. The ERD should show primary keys, foreign keys and cardinality for clinics, staff, m_patient, patient_source_links, visits, billing and the warehouse objects. Confirm that the diagrams match the actual schema rather than an earlier design draft. ]</w:t>
      </w:r>
    </w:p>
    <w:p w14:paraId="535CD1D2"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5. Data Quality Management</w:t>
      </w:r>
    </w:p>
    <w:p w14:paraId="2AEA4BB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5.1 Data quality risks</w:t>
      </w:r>
    </w:p>
    <w:p w14:paraId="796790E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seed data illustrates several recurring quality issues: inconsistent name casing and spacing, multiple telephone formats, invalid placeholder values, inconsistent sex labels, incomplete dates of birth, missing email addresses and missing or inconsistent National ID values. These defects can cause duplicate records, failed joins, inaccurate reporting and avoidable manual work.</w:t>
      </w:r>
    </w:p>
    <w:p w14:paraId="152FF86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data quality process should profile source records before cleaning, retain the raw fields for traceability, write standardized values to separate columns, validate those values, and then monitor the master data on a schedule. Records that cannot be corrected safely should be flagged for review rather than populated with guessed values.</w:t>
      </w:r>
    </w:p>
    <w:p w14:paraId="6C59E16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5.2 Cleaning rules</w:t>
      </w:r>
    </w:p>
    <w:tbl>
      <w:tblPr>
        <w:tblStyle w:val="TableGrid"/>
        <w:tblW w:w="0" w:type="auto"/>
        <w:jc w:val="center"/>
        <w:tblLook w:val="04A0" w:firstRow="1" w:lastRow="0" w:firstColumn="1" w:lastColumn="0" w:noHBand="0" w:noVBand="1"/>
      </w:tblPr>
      <w:tblGrid>
        <w:gridCol w:w="3212"/>
        <w:gridCol w:w="3214"/>
        <w:gridCol w:w="3212"/>
      </w:tblGrid>
      <w:tr w:rsidR="009A4008" w:rsidRPr="009A4008" w14:paraId="4B0CDC90" w14:textId="77777777" w:rsidTr="00B6247C">
        <w:trPr>
          <w:cantSplit/>
          <w:jc w:val="center"/>
        </w:trPr>
        <w:tc>
          <w:tcPr>
            <w:tcW w:w="3216" w:type="dxa"/>
            <w:shd w:val="clear" w:color="auto" w:fill="EDEDED"/>
            <w:vAlign w:val="center"/>
          </w:tcPr>
          <w:p w14:paraId="4F28558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3216" w:type="dxa"/>
            <w:shd w:val="clear" w:color="auto" w:fill="EDEDED"/>
            <w:vAlign w:val="center"/>
          </w:tcPr>
          <w:p w14:paraId="5964F4B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Rule</w:t>
            </w:r>
          </w:p>
        </w:tc>
        <w:tc>
          <w:tcPr>
            <w:tcW w:w="3216" w:type="dxa"/>
            <w:shd w:val="clear" w:color="auto" w:fill="EDEDED"/>
            <w:vAlign w:val="center"/>
          </w:tcPr>
          <w:p w14:paraId="110D6C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Handling when the value is uncertain</w:t>
            </w:r>
          </w:p>
        </w:tc>
      </w:tr>
      <w:tr w:rsidR="009A4008" w:rsidRPr="009A4008" w14:paraId="06C99939" w14:textId="77777777" w:rsidTr="00B6247C">
        <w:trPr>
          <w:cantSplit/>
          <w:jc w:val="center"/>
        </w:trPr>
        <w:tc>
          <w:tcPr>
            <w:tcW w:w="3216" w:type="dxa"/>
            <w:vAlign w:val="center"/>
          </w:tcPr>
          <w:p w14:paraId="4776611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Name</w:t>
            </w:r>
          </w:p>
        </w:tc>
        <w:tc>
          <w:tcPr>
            <w:tcW w:w="3216" w:type="dxa"/>
            <w:vAlign w:val="center"/>
          </w:tcPr>
          <w:p w14:paraId="2378AF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Trim leading and trailing spaces and standardize presentation for display.</w:t>
            </w:r>
          </w:p>
        </w:tc>
        <w:tc>
          <w:tcPr>
            <w:tcW w:w="3216" w:type="dxa"/>
            <w:vAlign w:val="center"/>
          </w:tcPr>
          <w:p w14:paraId="67FD98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assume similarly named people are the same person.</w:t>
            </w:r>
          </w:p>
        </w:tc>
      </w:tr>
      <w:tr w:rsidR="009A4008" w:rsidRPr="009A4008" w14:paraId="53AC4D66" w14:textId="77777777" w:rsidTr="00B6247C">
        <w:trPr>
          <w:cantSplit/>
          <w:jc w:val="center"/>
        </w:trPr>
        <w:tc>
          <w:tcPr>
            <w:tcW w:w="3216" w:type="dxa"/>
            <w:vAlign w:val="center"/>
          </w:tcPr>
          <w:p w14:paraId="7F07D6D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w:t>
            </w:r>
          </w:p>
        </w:tc>
        <w:tc>
          <w:tcPr>
            <w:tcW w:w="3216" w:type="dxa"/>
            <w:vAlign w:val="center"/>
          </w:tcPr>
          <w:p w14:paraId="6ACA5D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Remove non-digit characters and normalize valid Ugandan numbers to 256XXXXXXXXX.</w:t>
            </w:r>
          </w:p>
        </w:tc>
        <w:tc>
          <w:tcPr>
            <w:tcW w:w="3216" w:type="dxa"/>
            <w:vAlign w:val="center"/>
          </w:tcPr>
          <w:p w14:paraId="706E547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Set invalid or ambiguous values to NULL in the clean field and flag them for review.</w:t>
            </w:r>
          </w:p>
        </w:tc>
      </w:tr>
      <w:tr w:rsidR="009A4008" w:rsidRPr="009A4008" w14:paraId="7E93850B" w14:textId="77777777" w:rsidTr="00B6247C">
        <w:trPr>
          <w:cantSplit/>
          <w:jc w:val="center"/>
        </w:trPr>
        <w:tc>
          <w:tcPr>
            <w:tcW w:w="3216" w:type="dxa"/>
            <w:vAlign w:val="center"/>
          </w:tcPr>
          <w:p w14:paraId="142223F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Sex</w:t>
            </w:r>
          </w:p>
        </w:tc>
        <w:tc>
          <w:tcPr>
            <w:tcW w:w="3216" w:type="dxa"/>
            <w:vAlign w:val="center"/>
          </w:tcPr>
          <w:p w14:paraId="7CCB63E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Map recognized variants such as M, Male, F and Female to the approved M/F domain.</w:t>
            </w:r>
          </w:p>
        </w:tc>
        <w:tc>
          <w:tcPr>
            <w:tcW w:w="3216" w:type="dxa"/>
            <w:vAlign w:val="center"/>
          </w:tcPr>
          <w:p w14:paraId="21C430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Leave unrecognized values unresolved and log the issue.</w:t>
            </w:r>
          </w:p>
        </w:tc>
      </w:tr>
      <w:tr w:rsidR="009A4008" w:rsidRPr="009A4008" w14:paraId="5818CD20" w14:textId="77777777" w:rsidTr="00B6247C">
        <w:trPr>
          <w:cantSplit/>
          <w:jc w:val="center"/>
        </w:trPr>
        <w:tc>
          <w:tcPr>
            <w:tcW w:w="3216" w:type="dxa"/>
            <w:vAlign w:val="center"/>
          </w:tcPr>
          <w:p w14:paraId="7C63F3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 of birth</w:t>
            </w:r>
          </w:p>
        </w:tc>
        <w:tc>
          <w:tcPr>
            <w:tcW w:w="3216" w:type="dxa"/>
            <w:vAlign w:val="center"/>
          </w:tcPr>
          <w:p w14:paraId="217C97C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Parse supported formats such as YYYY-MM-DD and DD/MM/YYYY into DATE.</w:t>
            </w:r>
          </w:p>
        </w:tc>
        <w:tc>
          <w:tcPr>
            <w:tcW w:w="3216" w:type="dxa"/>
            <w:vAlign w:val="center"/>
          </w:tcPr>
          <w:p w14:paraId="43D8329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invent a date when parsing fails.</w:t>
            </w:r>
          </w:p>
        </w:tc>
      </w:tr>
      <w:tr w:rsidR="009A4008" w:rsidRPr="009A4008" w14:paraId="0033017F" w14:textId="77777777" w:rsidTr="00B6247C">
        <w:trPr>
          <w:cantSplit/>
          <w:jc w:val="center"/>
        </w:trPr>
        <w:tc>
          <w:tcPr>
            <w:tcW w:w="3216" w:type="dxa"/>
            <w:vAlign w:val="center"/>
          </w:tcPr>
          <w:p w14:paraId="4A8226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w:t>
            </w:r>
          </w:p>
        </w:tc>
        <w:tc>
          <w:tcPr>
            <w:tcW w:w="3216" w:type="dxa"/>
            <w:vAlign w:val="center"/>
          </w:tcPr>
          <w:p w14:paraId="7E083F3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Hash the value using SHA-256 during controlled ingestion and avoid plaintext in the trusted master.</w:t>
            </w:r>
          </w:p>
        </w:tc>
        <w:tc>
          <w:tcPr>
            <w:tcW w:w="3216" w:type="dxa"/>
            <w:vAlign w:val="center"/>
          </w:tcPr>
          <w:p w14:paraId="1D6D2BB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Restrict access to any legacy plaintext while migration and deletion are managed.</w:t>
            </w:r>
          </w:p>
        </w:tc>
      </w:tr>
      <w:tr w:rsidR="009A4008" w:rsidRPr="009A4008" w14:paraId="05C9BE8F" w14:textId="77777777" w:rsidTr="00B6247C">
        <w:trPr>
          <w:cantSplit/>
          <w:jc w:val="center"/>
        </w:trPr>
        <w:tc>
          <w:tcPr>
            <w:tcW w:w="3216" w:type="dxa"/>
            <w:vAlign w:val="center"/>
          </w:tcPr>
          <w:p w14:paraId="3FCD1B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w:t>
            </w:r>
          </w:p>
        </w:tc>
        <w:tc>
          <w:tcPr>
            <w:tcW w:w="3216" w:type="dxa"/>
            <w:vAlign w:val="center"/>
          </w:tcPr>
          <w:p w14:paraId="3AB1AB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Trim whitespace and validate basic structure before accepting it.</w:t>
            </w:r>
          </w:p>
        </w:tc>
        <w:tc>
          <w:tcPr>
            <w:tcW w:w="3216" w:type="dxa"/>
            <w:vAlign w:val="center"/>
          </w:tcPr>
          <w:p w14:paraId="4CFFA0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Preserve NULL when no valid value is available.</w:t>
            </w:r>
          </w:p>
        </w:tc>
      </w:tr>
      <w:tr w:rsidR="009A4008" w:rsidRPr="009A4008" w14:paraId="3C2FDF04" w14:textId="77777777" w:rsidTr="00B6247C">
        <w:trPr>
          <w:cantSplit/>
          <w:jc w:val="center"/>
        </w:trPr>
        <w:tc>
          <w:tcPr>
            <w:tcW w:w="3216" w:type="dxa"/>
            <w:vAlign w:val="center"/>
          </w:tcPr>
          <w:p w14:paraId="27A029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Duplicates</w:t>
            </w:r>
          </w:p>
        </w:tc>
        <w:tc>
          <w:tcPr>
            <w:tcW w:w="3216" w:type="dxa"/>
            <w:vAlign w:val="center"/>
          </w:tcPr>
          <w:p w14:paraId="466E6E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normalized telephone as the primary matching key, with supporting evidence and steward review.</w:t>
            </w:r>
          </w:p>
        </w:tc>
        <w:tc>
          <w:tcPr>
            <w:tcW w:w="3216" w:type="dxa"/>
            <w:vAlign w:val="center"/>
          </w:tcPr>
          <w:p w14:paraId="1588CD1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automatically merge identity conflicts.</w:t>
            </w:r>
          </w:p>
        </w:tc>
      </w:tr>
    </w:tbl>
    <w:p w14:paraId="138B6E21" w14:textId="77777777" w:rsidR="009A4008" w:rsidRPr="009A4008" w:rsidRDefault="009A4008" w:rsidP="009A4008">
      <w:pPr>
        <w:rPr>
          <w:rFonts w:ascii="Times New Roman" w:hAnsi="Times New Roman" w:cs="Times New Roman"/>
          <w:sz w:val="22"/>
          <w:szCs w:val="22"/>
        </w:rPr>
      </w:pPr>
    </w:p>
    <w:p w14:paraId="670C9B0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5.3 Measurement and targets</w:t>
      </w:r>
    </w:p>
    <w:p w14:paraId="69A3B6A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sets two primary master-data targets: at least 97% telephone completeness and zero invalid telephone numbers, measured weekly and logged. Additional useful measures include date-of-birth completeness, sex-domain consistency, duplicate candidates, unresolved MDM queue items and the number of rejected or corrected source rows.</w:t>
      </w:r>
    </w:p>
    <w:tbl>
      <w:tblPr>
        <w:tblStyle w:val="TableGrid"/>
        <w:tblW w:w="0" w:type="auto"/>
        <w:jc w:val="center"/>
        <w:tblLook w:val="04A0" w:firstRow="1" w:lastRow="0" w:firstColumn="1" w:lastColumn="0" w:noHBand="0" w:noVBand="1"/>
      </w:tblPr>
      <w:tblGrid>
        <w:gridCol w:w="2410"/>
        <w:gridCol w:w="2411"/>
        <w:gridCol w:w="2409"/>
        <w:gridCol w:w="2408"/>
      </w:tblGrid>
      <w:tr w:rsidR="009A4008" w:rsidRPr="009A4008" w14:paraId="30B565F1" w14:textId="77777777" w:rsidTr="00B6247C">
        <w:trPr>
          <w:cantSplit/>
          <w:jc w:val="center"/>
        </w:trPr>
        <w:tc>
          <w:tcPr>
            <w:tcW w:w="2412" w:type="dxa"/>
            <w:shd w:val="clear" w:color="auto" w:fill="EDEDED"/>
            <w:vAlign w:val="center"/>
          </w:tcPr>
          <w:p w14:paraId="48A3FC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Metric</w:t>
            </w:r>
          </w:p>
        </w:tc>
        <w:tc>
          <w:tcPr>
            <w:tcW w:w="2412" w:type="dxa"/>
            <w:shd w:val="clear" w:color="auto" w:fill="EDEDED"/>
            <w:vAlign w:val="center"/>
          </w:tcPr>
          <w:p w14:paraId="562C5BB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Definition</w:t>
            </w:r>
          </w:p>
        </w:tc>
        <w:tc>
          <w:tcPr>
            <w:tcW w:w="2412" w:type="dxa"/>
            <w:shd w:val="clear" w:color="auto" w:fill="EDEDED"/>
            <w:vAlign w:val="center"/>
          </w:tcPr>
          <w:p w14:paraId="7EC70FA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Target or reporting requirement</w:t>
            </w:r>
          </w:p>
        </w:tc>
        <w:tc>
          <w:tcPr>
            <w:tcW w:w="2412" w:type="dxa"/>
            <w:shd w:val="clear" w:color="auto" w:fill="EDEDED"/>
            <w:vAlign w:val="center"/>
          </w:tcPr>
          <w:p w14:paraId="35AFB4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Actual result</w:t>
            </w:r>
          </w:p>
        </w:tc>
      </w:tr>
      <w:tr w:rsidR="009A4008" w:rsidRPr="009A4008" w14:paraId="5FAC48B8" w14:textId="77777777" w:rsidTr="00B6247C">
        <w:trPr>
          <w:cantSplit/>
          <w:jc w:val="center"/>
        </w:trPr>
        <w:tc>
          <w:tcPr>
            <w:tcW w:w="2412" w:type="dxa"/>
            <w:vAlign w:val="center"/>
          </w:tcPr>
          <w:p w14:paraId="3A1499A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 completeness</w:t>
            </w:r>
          </w:p>
        </w:tc>
        <w:tc>
          <w:tcPr>
            <w:tcW w:w="2412" w:type="dxa"/>
            <w:vAlign w:val="center"/>
          </w:tcPr>
          <w:p w14:paraId="43568F7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records with a non-null normalized phone divided by all master records, multiplied by 100.</w:t>
            </w:r>
          </w:p>
        </w:tc>
        <w:tc>
          <w:tcPr>
            <w:tcW w:w="2412" w:type="dxa"/>
            <w:vAlign w:val="center"/>
          </w:tcPr>
          <w:p w14:paraId="6ACB1AE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At least 97%.</w:t>
            </w:r>
          </w:p>
        </w:tc>
        <w:tc>
          <w:tcPr>
            <w:tcW w:w="2412" w:type="dxa"/>
            <w:vAlign w:val="center"/>
          </w:tcPr>
          <w:p w14:paraId="0CD4ED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380440A5" w14:textId="77777777" w:rsidTr="00B6247C">
        <w:trPr>
          <w:cantSplit/>
          <w:jc w:val="center"/>
        </w:trPr>
        <w:tc>
          <w:tcPr>
            <w:tcW w:w="2412" w:type="dxa"/>
            <w:vAlign w:val="center"/>
          </w:tcPr>
          <w:p w14:paraId="6F6EACE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Invalid telephone count</w:t>
            </w:r>
          </w:p>
        </w:tc>
        <w:tc>
          <w:tcPr>
            <w:tcW w:w="2412" w:type="dxa"/>
            <w:vAlign w:val="center"/>
          </w:tcPr>
          <w:p w14:paraId="03EB457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Records with a phone that fails the 256 plus nine digits validation rule.</w:t>
            </w:r>
          </w:p>
        </w:tc>
        <w:tc>
          <w:tcPr>
            <w:tcW w:w="2412" w:type="dxa"/>
            <w:vAlign w:val="center"/>
          </w:tcPr>
          <w:p w14:paraId="73D518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0.</w:t>
            </w:r>
          </w:p>
        </w:tc>
        <w:tc>
          <w:tcPr>
            <w:tcW w:w="2412" w:type="dxa"/>
            <w:vAlign w:val="center"/>
          </w:tcPr>
          <w:p w14:paraId="5107EC6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268C80AF" w14:textId="77777777" w:rsidTr="00B6247C">
        <w:trPr>
          <w:cantSplit/>
          <w:jc w:val="center"/>
        </w:trPr>
        <w:tc>
          <w:tcPr>
            <w:tcW w:w="2412" w:type="dxa"/>
            <w:vAlign w:val="center"/>
          </w:tcPr>
          <w:p w14:paraId="1630DA0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Date-of-birth completeness</w:t>
            </w:r>
          </w:p>
        </w:tc>
        <w:tc>
          <w:tcPr>
            <w:tcW w:w="2412" w:type="dxa"/>
            <w:vAlign w:val="center"/>
          </w:tcPr>
          <w:p w14:paraId="6B28069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records with a non-null date_of_birth divided by all master records, multiplied by 100.</w:t>
            </w:r>
          </w:p>
        </w:tc>
        <w:tc>
          <w:tcPr>
            <w:tcW w:w="2412" w:type="dxa"/>
            <w:vAlign w:val="center"/>
          </w:tcPr>
          <w:p w14:paraId="7991D1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Monitor and report weekly.</w:t>
            </w:r>
          </w:p>
        </w:tc>
        <w:tc>
          <w:tcPr>
            <w:tcW w:w="2412" w:type="dxa"/>
            <w:vAlign w:val="center"/>
          </w:tcPr>
          <w:p w14:paraId="6A2B9F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503C7597" w14:textId="77777777" w:rsidTr="00B6247C">
        <w:trPr>
          <w:cantSplit/>
          <w:jc w:val="center"/>
        </w:trPr>
        <w:tc>
          <w:tcPr>
            <w:tcW w:w="2412" w:type="dxa"/>
            <w:vAlign w:val="center"/>
          </w:tcPr>
          <w:p w14:paraId="773176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Potential duplicate count</w:t>
            </w:r>
          </w:p>
        </w:tc>
        <w:tc>
          <w:tcPr>
            <w:tcW w:w="2412" w:type="dxa"/>
            <w:vAlign w:val="center"/>
          </w:tcPr>
          <w:p w14:paraId="3F92ED7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Candidate duplicates identified by the implemented duplicate-check rule.</w:t>
            </w:r>
          </w:p>
        </w:tc>
        <w:tc>
          <w:tcPr>
            <w:tcW w:w="2412" w:type="dxa"/>
            <w:vAlign w:val="center"/>
          </w:tcPr>
          <w:p w14:paraId="02ADA5B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Investigate and resolve; do not treat the count as confirmed duplicates without review.</w:t>
            </w:r>
          </w:p>
        </w:tc>
        <w:tc>
          <w:tcPr>
            <w:tcW w:w="2412" w:type="dxa"/>
            <w:vAlign w:val="center"/>
          </w:tcPr>
          <w:p w14:paraId="5ABAED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10DC7DB5" w14:textId="77777777" w:rsidTr="00B6247C">
        <w:trPr>
          <w:cantSplit/>
          <w:jc w:val="center"/>
        </w:trPr>
        <w:tc>
          <w:tcPr>
            <w:tcW w:w="2412" w:type="dxa"/>
            <w:vAlign w:val="center"/>
          </w:tcPr>
          <w:p w14:paraId="3A7802B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Open MDM review items</w:t>
            </w:r>
          </w:p>
        </w:tc>
        <w:tc>
          <w:tcPr>
            <w:tcW w:w="2412" w:type="dxa"/>
            <w:vAlign w:val="center"/>
          </w:tcPr>
          <w:p w14:paraId="290DE1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Number of unresolved records in mdm_review_queue.</w:t>
            </w:r>
          </w:p>
        </w:tc>
        <w:tc>
          <w:tcPr>
            <w:tcW w:w="2412" w:type="dxa"/>
            <w:vAlign w:val="center"/>
          </w:tcPr>
          <w:p w14:paraId="148477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Review regularly and assign an owner.</w:t>
            </w:r>
          </w:p>
        </w:tc>
        <w:tc>
          <w:tcPr>
            <w:tcW w:w="2412" w:type="dxa"/>
            <w:vAlign w:val="center"/>
          </w:tcPr>
          <w:p w14:paraId="38E3A92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r w:rsidR="009A4008" w:rsidRPr="009A4008" w14:paraId="4947692B" w14:textId="77777777" w:rsidTr="00B6247C">
        <w:trPr>
          <w:cantSplit/>
          <w:jc w:val="center"/>
        </w:trPr>
        <w:tc>
          <w:tcPr>
            <w:tcW w:w="2412" w:type="dxa"/>
            <w:vAlign w:val="center"/>
          </w:tcPr>
          <w:p w14:paraId="75CF41F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Rejected source rows</w:t>
            </w:r>
          </w:p>
        </w:tc>
        <w:tc>
          <w:tcPr>
            <w:tcW w:w="2412" w:type="dxa"/>
            <w:vAlign w:val="center"/>
          </w:tcPr>
          <w:p w14:paraId="2B23CB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Rows held because they fail validation or cannot be safely matched.</w:t>
            </w:r>
          </w:p>
        </w:tc>
        <w:tc>
          <w:tcPr>
            <w:tcW w:w="2412" w:type="dxa"/>
            <w:vAlign w:val="center"/>
          </w:tcPr>
          <w:p w14:paraId="17353FD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Track by source and reason.</w:t>
            </w:r>
          </w:p>
        </w:tc>
        <w:tc>
          <w:tcPr>
            <w:tcW w:w="2412" w:type="dxa"/>
            <w:vAlign w:val="center"/>
          </w:tcPr>
          <w:p w14:paraId="70DF80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[Enter verified result]</w:t>
            </w:r>
          </w:p>
        </w:tc>
      </w:tr>
    </w:tbl>
    <w:p w14:paraId="539A7BB3" w14:textId="77777777" w:rsidR="009A4008" w:rsidRPr="009A4008" w:rsidRDefault="009A4008" w:rsidP="009A4008">
      <w:pPr>
        <w:rPr>
          <w:rFonts w:ascii="Times New Roman" w:hAnsi="Times New Roman" w:cs="Times New Roman"/>
          <w:sz w:val="22"/>
          <w:szCs w:val="22"/>
        </w:rPr>
      </w:pPr>
    </w:p>
    <w:p w14:paraId="68885D2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provides an example of phone completeness changing from 71% to 100%, but these figures are illustrative and should not be reported as the group's achieved results unless the actual database queries return those values. The scorecard view v_dq_scorecard should be corrected and tested before use. Its calculations must use valid SQL syntax and a correct denominator, and its output should be saved in dq_scorecard_log for each scheduled run.</w:t>
      </w:r>
    </w:p>
    <w:p w14:paraId="526A031F"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5.4 Root-cause analysis and monitoring</w:t>
      </w:r>
    </w:p>
    <w:p w14:paraId="48069C5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A fishbone analysis should consider people, process, technology, source design and governance. Possible causes include free-text entry, absence of a common phone validation rule, inconsistent date formats, migration without mapping rules, unclear ownership and a lack of regular feedback to source users. These are hypotheses to assess against the group's source inventory and sample data, not findings to assert without evidence.</w:t>
      </w:r>
    </w:p>
    <w:p w14:paraId="40A7CA6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monitoring plan should run the same checks each week, compare the results with targets, assign a responsible owner to each failure and record corrective action. The data steward should review quality trends and recurring defects with the relevant source owner. The IT custodian should ensure that the queries and scheduled event run successfully and that failed runs are visible rather than silently ignored.</w:t>
      </w:r>
    </w:p>
    <w:p w14:paraId="000BEE38"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6. Master Data Management</w:t>
      </w:r>
    </w:p>
    <w:p w14:paraId="64BE7AF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6.1 Purpose and matching strategy</w:t>
      </w:r>
    </w:p>
    <w:p w14:paraId="7A7F238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MDM creates a consistent patient identity across the source systems without discarding the source history. The primary matching key is the normalized telephone number, as specified in the brief. Name matching alone is not sufficient because names can be entered with different casing, spacing, abbreviations or spelling. Telephone matching is also imperfect: a family may share a number, a number may be changed or recycled, and a source may contain an invalid value. The matching process therefore needs a review path and a record of how each match was made.</w:t>
      </w:r>
    </w:p>
    <w:p w14:paraId="7A83C1F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MDM process uses the staging </w:t>
      </w:r>
      <w:proofErr w:type="gramStart"/>
      <w:r w:rsidRPr="009A4008">
        <w:rPr>
          <w:rFonts w:ascii="Times New Roman" w:hAnsi="Times New Roman" w:cs="Times New Roman"/>
          <w:sz w:val="22"/>
          <w:szCs w:val="22"/>
        </w:rPr>
        <w:t>tables</w:t>
      </w:r>
      <w:proofErr w:type="gramEnd"/>
      <w:r w:rsidRPr="009A4008">
        <w:rPr>
          <w:rFonts w:ascii="Times New Roman" w:hAnsi="Times New Roman" w:cs="Times New Roman"/>
          <w:sz w:val="22"/>
          <w:szCs w:val="22"/>
        </w:rPr>
        <w:t xml:space="preserve"> stg_legacy_a and stg_legacy_b, standardizes the source fields, combines eligible records through v_all_sources, and creates a golden record in m_patient. </w:t>
      </w:r>
      <w:proofErr w:type="gramStart"/>
      <w:r w:rsidRPr="009A4008">
        <w:rPr>
          <w:rFonts w:ascii="Times New Roman" w:hAnsi="Times New Roman" w:cs="Times New Roman"/>
          <w:sz w:val="22"/>
          <w:szCs w:val="22"/>
        </w:rPr>
        <w:t>patient_source_links</w:t>
      </w:r>
      <w:proofErr w:type="gramEnd"/>
      <w:r w:rsidRPr="009A4008">
        <w:rPr>
          <w:rFonts w:ascii="Times New Roman" w:hAnsi="Times New Roman" w:cs="Times New Roman"/>
          <w:sz w:val="22"/>
          <w:szCs w:val="22"/>
        </w:rPr>
        <w:t xml:space="preserve"> records the relationship between each source record and the master patient. The mdm_review_queue holds records that cannot be matched safely or that require human judgment.</w:t>
      </w:r>
    </w:p>
    <w:p w14:paraId="2BB4462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6.2 Survivorship rules</w:t>
      </w:r>
    </w:p>
    <w:tbl>
      <w:tblPr>
        <w:tblStyle w:val="TableGrid"/>
        <w:tblW w:w="0" w:type="auto"/>
        <w:jc w:val="center"/>
        <w:tblLook w:val="04A0" w:firstRow="1" w:lastRow="0" w:firstColumn="1" w:lastColumn="0" w:noHBand="0" w:noVBand="1"/>
      </w:tblPr>
      <w:tblGrid>
        <w:gridCol w:w="3212"/>
        <w:gridCol w:w="3214"/>
        <w:gridCol w:w="3212"/>
      </w:tblGrid>
      <w:tr w:rsidR="009A4008" w:rsidRPr="009A4008" w14:paraId="15881D8F" w14:textId="77777777" w:rsidTr="00B6247C">
        <w:trPr>
          <w:cantSplit/>
          <w:jc w:val="center"/>
        </w:trPr>
        <w:tc>
          <w:tcPr>
            <w:tcW w:w="3216" w:type="dxa"/>
            <w:shd w:val="clear" w:color="auto" w:fill="EDEDED"/>
            <w:vAlign w:val="center"/>
          </w:tcPr>
          <w:p w14:paraId="3DF3BC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3216" w:type="dxa"/>
            <w:shd w:val="clear" w:color="auto" w:fill="EDEDED"/>
            <w:vAlign w:val="center"/>
          </w:tcPr>
          <w:p w14:paraId="4A87EAA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Survivorship rule</w:t>
            </w:r>
          </w:p>
        </w:tc>
        <w:tc>
          <w:tcPr>
            <w:tcW w:w="3216" w:type="dxa"/>
            <w:shd w:val="clear" w:color="auto" w:fill="EDEDED"/>
            <w:vAlign w:val="center"/>
          </w:tcPr>
          <w:p w14:paraId="5B42321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Reason and safeguard</w:t>
            </w:r>
          </w:p>
        </w:tc>
      </w:tr>
      <w:tr w:rsidR="009A4008" w:rsidRPr="009A4008" w14:paraId="0A47AE00" w14:textId="77777777" w:rsidTr="00B6247C">
        <w:trPr>
          <w:cantSplit/>
          <w:jc w:val="center"/>
        </w:trPr>
        <w:tc>
          <w:tcPr>
            <w:tcW w:w="3216" w:type="dxa"/>
            <w:vAlign w:val="center"/>
          </w:tcPr>
          <w:p w14:paraId="21E2A6D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Telephone</w:t>
            </w:r>
          </w:p>
        </w:tc>
        <w:tc>
          <w:tcPr>
            <w:tcW w:w="3216" w:type="dxa"/>
            <w:vAlign w:val="center"/>
          </w:tcPr>
          <w:p w14:paraId="0F26EF7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the normalized valid number as the primary match key; for the surviving contact value, use the most recently updated eligible source.</w:t>
            </w:r>
          </w:p>
        </w:tc>
        <w:tc>
          <w:tcPr>
            <w:tcW w:w="3216" w:type="dxa"/>
            <w:vAlign w:val="center"/>
          </w:tcPr>
          <w:p w14:paraId="63BDFAB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Supports matching while preventing invalid values from becoming trusted identifiers.</w:t>
            </w:r>
          </w:p>
        </w:tc>
      </w:tr>
      <w:tr w:rsidR="009A4008" w:rsidRPr="009A4008" w14:paraId="2CB51EC8" w14:textId="77777777" w:rsidTr="00B6247C">
        <w:trPr>
          <w:cantSplit/>
          <w:jc w:val="center"/>
        </w:trPr>
        <w:tc>
          <w:tcPr>
            <w:tcW w:w="3216" w:type="dxa"/>
            <w:vAlign w:val="center"/>
          </w:tcPr>
          <w:p w14:paraId="7AEAEAF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w:t>
            </w:r>
          </w:p>
        </w:tc>
        <w:tc>
          <w:tcPr>
            <w:tcW w:w="3216" w:type="dxa"/>
            <w:vAlign w:val="center"/>
          </w:tcPr>
          <w:p w14:paraId="21453C6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the most recently updated eligible source with a valid value.</w:t>
            </w:r>
          </w:p>
        </w:tc>
        <w:tc>
          <w:tcPr>
            <w:tcW w:w="3216" w:type="dxa"/>
            <w:vAlign w:val="center"/>
          </w:tcPr>
          <w:p w14:paraId="782B35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Email may be missing from some systems, so a newer valid value should not be replaced by an empty field.</w:t>
            </w:r>
          </w:p>
        </w:tc>
      </w:tr>
      <w:tr w:rsidR="009A4008" w:rsidRPr="009A4008" w14:paraId="28E0A319" w14:textId="77777777" w:rsidTr="00B6247C">
        <w:trPr>
          <w:cantSplit/>
          <w:jc w:val="center"/>
        </w:trPr>
        <w:tc>
          <w:tcPr>
            <w:tcW w:w="3216" w:type="dxa"/>
            <w:vAlign w:val="center"/>
          </w:tcPr>
          <w:p w14:paraId="3B6AA89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Full name</w:t>
            </w:r>
          </w:p>
        </w:tc>
        <w:tc>
          <w:tcPr>
            <w:tcW w:w="3216" w:type="dxa"/>
            <w:vAlign w:val="center"/>
          </w:tcPr>
          <w:p w14:paraId="05D34D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Do not silently merge conflicting identity values; refer material conflicts to the steward.</w:t>
            </w:r>
          </w:p>
        </w:tc>
        <w:tc>
          <w:tcPr>
            <w:tcW w:w="3216" w:type="dxa"/>
            <w:vAlign w:val="center"/>
          </w:tcPr>
          <w:p w14:paraId="16467A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Different spellings may refer to the same person, but identical names may also belong to different people.</w:t>
            </w:r>
          </w:p>
        </w:tc>
      </w:tr>
      <w:tr w:rsidR="009A4008" w:rsidRPr="009A4008" w14:paraId="16254D34" w14:textId="77777777" w:rsidTr="00B6247C">
        <w:trPr>
          <w:cantSplit/>
          <w:jc w:val="center"/>
        </w:trPr>
        <w:tc>
          <w:tcPr>
            <w:tcW w:w="3216" w:type="dxa"/>
            <w:vAlign w:val="center"/>
          </w:tcPr>
          <w:p w14:paraId="4CDDAD2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Date of birth</w:t>
            </w:r>
          </w:p>
        </w:tc>
        <w:tc>
          <w:tcPr>
            <w:tcW w:w="3216" w:type="dxa"/>
            <w:vAlign w:val="center"/>
          </w:tcPr>
          <w:p w14:paraId="6F489E6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 consistent parsed date only when supported; send conflicts to review.</w:t>
            </w:r>
          </w:p>
        </w:tc>
        <w:tc>
          <w:tcPr>
            <w:tcW w:w="3216" w:type="dxa"/>
            <w:vAlign w:val="center"/>
          </w:tcPr>
          <w:p w14:paraId="4FF21BE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 wrong date may cause clinical and reporting errors.</w:t>
            </w:r>
          </w:p>
        </w:tc>
      </w:tr>
      <w:tr w:rsidR="009A4008" w:rsidRPr="009A4008" w14:paraId="57837AD0" w14:textId="77777777" w:rsidTr="00B6247C">
        <w:trPr>
          <w:cantSplit/>
          <w:jc w:val="center"/>
        </w:trPr>
        <w:tc>
          <w:tcPr>
            <w:tcW w:w="3216" w:type="dxa"/>
            <w:vAlign w:val="center"/>
          </w:tcPr>
          <w:p w14:paraId="300F870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Sex</w:t>
            </w:r>
          </w:p>
        </w:tc>
        <w:tc>
          <w:tcPr>
            <w:tcW w:w="3216" w:type="dxa"/>
            <w:vAlign w:val="center"/>
          </w:tcPr>
          <w:p w14:paraId="5EBBE7C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Normalize known values to the approved domain; refer conflicting or unknown values to review.</w:t>
            </w:r>
          </w:p>
        </w:tc>
        <w:tc>
          <w:tcPr>
            <w:tcW w:w="3216" w:type="dxa"/>
            <w:vAlign w:val="center"/>
          </w:tcPr>
          <w:p w14:paraId="69B81ED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Prevents inconsistent labels from being treated as distinct categories.</w:t>
            </w:r>
          </w:p>
        </w:tc>
      </w:tr>
      <w:tr w:rsidR="009A4008" w:rsidRPr="009A4008" w14:paraId="15D7270C" w14:textId="77777777" w:rsidTr="00B6247C">
        <w:trPr>
          <w:cantSplit/>
          <w:jc w:val="center"/>
        </w:trPr>
        <w:tc>
          <w:tcPr>
            <w:tcW w:w="3216" w:type="dxa"/>
            <w:vAlign w:val="center"/>
          </w:tcPr>
          <w:p w14:paraId="6A0B68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National ID</w:t>
            </w:r>
          </w:p>
        </w:tc>
        <w:tc>
          <w:tcPr>
            <w:tcW w:w="3216" w:type="dxa"/>
            <w:vAlign w:val="center"/>
          </w:tcPr>
          <w:p w14:paraId="52B71E7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Store a SHA-256 hash in the master, not plaintext.</w:t>
            </w:r>
          </w:p>
        </w:tc>
        <w:tc>
          <w:tcPr>
            <w:tcW w:w="3216" w:type="dxa"/>
            <w:vAlign w:val="center"/>
          </w:tcPr>
          <w:p w14:paraId="5618F0B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Reduces exposure of the raw identifier; the hash still requires protection.</w:t>
            </w:r>
          </w:p>
        </w:tc>
      </w:tr>
      <w:tr w:rsidR="009A4008" w:rsidRPr="009A4008" w14:paraId="645FB11D" w14:textId="77777777" w:rsidTr="00B6247C">
        <w:trPr>
          <w:cantSplit/>
          <w:jc w:val="center"/>
        </w:trPr>
        <w:tc>
          <w:tcPr>
            <w:tcW w:w="3216" w:type="dxa"/>
            <w:vAlign w:val="center"/>
          </w:tcPr>
          <w:p w14:paraId="7A01C24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 links</w:t>
            </w:r>
          </w:p>
        </w:tc>
        <w:tc>
          <w:tcPr>
            <w:tcW w:w="3216" w:type="dxa"/>
            <w:vAlign w:val="center"/>
          </w:tcPr>
          <w:p w14:paraId="30875CF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Retain each source-system name and source record ID linked to the golden record.</w:t>
            </w:r>
          </w:p>
        </w:tc>
        <w:tc>
          <w:tcPr>
            <w:tcW w:w="3216" w:type="dxa"/>
            <w:vAlign w:val="center"/>
          </w:tcPr>
          <w:p w14:paraId="540524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Allows traceability, correction and investigation.</w:t>
            </w:r>
          </w:p>
        </w:tc>
      </w:tr>
      <w:tr w:rsidR="009A4008" w:rsidRPr="009A4008" w14:paraId="1F5BEACD" w14:textId="77777777" w:rsidTr="00B6247C">
        <w:trPr>
          <w:cantSplit/>
          <w:jc w:val="center"/>
        </w:trPr>
        <w:tc>
          <w:tcPr>
            <w:tcW w:w="3216" w:type="dxa"/>
            <w:vAlign w:val="center"/>
          </w:tcPr>
          <w:p w14:paraId="461A9DC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Unmatched records</w:t>
            </w:r>
          </w:p>
        </w:tc>
        <w:tc>
          <w:tcPr>
            <w:tcW w:w="3216" w:type="dxa"/>
            <w:vAlign w:val="center"/>
          </w:tcPr>
          <w:p w14:paraId="0624630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Place unresolved rows in mdm_review_queue with a reason and resolution fields.</w:t>
            </w:r>
          </w:p>
        </w:tc>
        <w:tc>
          <w:tcPr>
            <w:tcW w:w="3216" w:type="dxa"/>
            <w:vAlign w:val="center"/>
          </w:tcPr>
          <w:p w14:paraId="3CF85E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Prevents silent loss or unsafe merging.</w:t>
            </w:r>
          </w:p>
        </w:tc>
      </w:tr>
    </w:tbl>
    <w:p w14:paraId="244B7BE3" w14:textId="77777777" w:rsidR="009A4008" w:rsidRPr="009A4008" w:rsidRDefault="009A4008" w:rsidP="009A4008">
      <w:pPr>
        <w:rPr>
          <w:rFonts w:ascii="Times New Roman" w:hAnsi="Times New Roman" w:cs="Times New Roman"/>
          <w:sz w:val="22"/>
          <w:szCs w:val="22"/>
        </w:rPr>
      </w:pPr>
    </w:p>
    <w:p w14:paraId="7EDC7CE4"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brief's Sarah Nakato example expects source rows 1 and 2 from Legacy A and row 101 from Legacy B to resolve to one master record where the matching and survivorship checks support that decision. </w:t>
      </w:r>
    </w:p>
    <w:p w14:paraId="6BB03754"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6.3 Review workflow</w:t>
      </w:r>
    </w:p>
    <w:p w14:paraId="62477F22" w14:textId="77777777" w:rsidR="009A4008" w:rsidRPr="009A4008" w:rsidRDefault="009A4008" w:rsidP="009A4008">
      <w:pPr>
        <w:pStyle w:val="ListNumber"/>
        <w:spacing w:after="60"/>
        <w:rPr>
          <w:rFonts w:cs="Times New Roman"/>
        </w:rPr>
      </w:pPr>
      <w:r w:rsidRPr="009A4008">
        <w:rPr>
          <w:rFonts w:cs="Times New Roman"/>
        </w:rPr>
        <w:t>Load source data into staging while preserving the original source identifiers.</w:t>
      </w:r>
    </w:p>
    <w:p w14:paraId="6BE531A9" w14:textId="77777777" w:rsidR="009A4008" w:rsidRPr="009A4008" w:rsidRDefault="009A4008" w:rsidP="009A4008">
      <w:pPr>
        <w:pStyle w:val="ListNumber"/>
        <w:spacing w:after="60"/>
        <w:rPr>
          <w:rFonts w:cs="Times New Roman"/>
        </w:rPr>
      </w:pPr>
      <w:r w:rsidRPr="009A4008">
        <w:rPr>
          <w:rFonts w:cs="Times New Roman"/>
        </w:rPr>
        <w:t>Normalize phone, name, sex and date-of-birth values in separate clean columns.</w:t>
      </w:r>
    </w:p>
    <w:p w14:paraId="52AF1954" w14:textId="77777777" w:rsidR="009A4008" w:rsidRPr="009A4008" w:rsidRDefault="009A4008" w:rsidP="009A4008">
      <w:pPr>
        <w:pStyle w:val="ListNumber"/>
        <w:spacing w:after="60"/>
        <w:rPr>
          <w:rFonts w:cs="Times New Roman"/>
        </w:rPr>
      </w:pPr>
      <w:r w:rsidRPr="009A4008">
        <w:rPr>
          <w:rFonts w:cs="Times New Roman"/>
        </w:rPr>
        <w:t>Match records using valid normalized telephone numbers and calculate or record match confidence.</w:t>
      </w:r>
    </w:p>
    <w:p w14:paraId="226B8BF3" w14:textId="77777777" w:rsidR="009A4008" w:rsidRPr="009A4008" w:rsidRDefault="009A4008" w:rsidP="009A4008">
      <w:pPr>
        <w:pStyle w:val="ListNumber"/>
        <w:spacing w:after="60"/>
        <w:rPr>
          <w:rFonts w:cs="Times New Roman"/>
        </w:rPr>
      </w:pPr>
      <w:r w:rsidRPr="009A4008">
        <w:rPr>
          <w:rFonts w:cs="Times New Roman"/>
        </w:rPr>
        <w:t>Create or update a golden record only when the matching rule supports the decision.</w:t>
      </w:r>
    </w:p>
    <w:p w14:paraId="12E4BA5A" w14:textId="77777777" w:rsidR="009A4008" w:rsidRPr="009A4008" w:rsidRDefault="009A4008" w:rsidP="009A4008">
      <w:pPr>
        <w:pStyle w:val="ListNumber"/>
        <w:spacing w:after="60"/>
        <w:rPr>
          <w:rFonts w:cs="Times New Roman"/>
        </w:rPr>
      </w:pPr>
      <w:r w:rsidRPr="009A4008">
        <w:rPr>
          <w:rFonts w:cs="Times New Roman"/>
        </w:rPr>
        <w:t>Send missing-phone cases, conflicting identity fields and uncertain matches to mdm_review_queue.</w:t>
      </w:r>
    </w:p>
    <w:p w14:paraId="6BCDD6B3" w14:textId="77777777" w:rsidR="009A4008" w:rsidRPr="009A4008" w:rsidRDefault="009A4008" w:rsidP="009A4008">
      <w:pPr>
        <w:pStyle w:val="ListNumber"/>
        <w:spacing w:after="60"/>
        <w:rPr>
          <w:rFonts w:cs="Times New Roman"/>
        </w:rPr>
      </w:pPr>
      <w:r w:rsidRPr="009A4008">
        <w:rPr>
          <w:rFonts w:cs="Times New Roman"/>
        </w:rPr>
        <w:t>Have the data steward review the evidence and record the resolution and reviewer.</w:t>
      </w:r>
    </w:p>
    <w:p w14:paraId="52B28038" w14:textId="77777777" w:rsidR="009A4008" w:rsidRPr="009A4008" w:rsidRDefault="009A4008" w:rsidP="009A4008">
      <w:pPr>
        <w:pStyle w:val="ListNumber"/>
        <w:spacing w:after="60"/>
        <w:rPr>
          <w:rFonts w:cs="Times New Roman"/>
        </w:rPr>
      </w:pPr>
      <w:r w:rsidRPr="009A4008">
        <w:rPr>
          <w:rFonts w:cs="Times New Roman"/>
        </w:rPr>
        <w:t>Maintain patient_source_links so each accepted source record remains traceable to its master.</w:t>
      </w:r>
    </w:p>
    <w:p w14:paraId="24EDD377" w14:textId="77777777" w:rsidR="009A4008" w:rsidRPr="009A4008" w:rsidRDefault="009A4008" w:rsidP="009A4008">
      <w:pPr>
        <w:pStyle w:val="ListNumber"/>
        <w:spacing w:after="60"/>
        <w:rPr>
          <w:rFonts w:cs="Times New Roman"/>
        </w:rPr>
      </w:pPr>
      <w:r w:rsidRPr="009A4008">
        <w:rPr>
          <w:rFonts w:cs="Times New Roman"/>
        </w:rPr>
        <w:t>Run duplicate and crosswalk verification queries and save the results as implementation evidence.</w:t>
      </w:r>
    </w:p>
    <w:p w14:paraId="52D63E0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7. Metadata, Cataloguing and Lineage</w:t>
      </w:r>
    </w:p>
    <w:p w14:paraId="00160BB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Metadata allows users to understand what data means, who is responsible for it, where it came from and how it has been transformed. The project brief states that every source system must register its owner, definitions and lineage in the catalog before it is trusted. This requirement is particularly important when staff change or when a new clinic joins the network.</w:t>
      </w:r>
    </w:p>
    <w:p w14:paraId="68CCA41A"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7.1 Catalog components</w:t>
      </w:r>
    </w:p>
    <w:tbl>
      <w:tblPr>
        <w:tblStyle w:val="TableGrid"/>
        <w:tblW w:w="0" w:type="auto"/>
        <w:jc w:val="center"/>
        <w:tblLook w:val="04A0" w:firstRow="1" w:lastRow="0" w:firstColumn="1" w:lastColumn="0" w:noHBand="0" w:noVBand="1"/>
      </w:tblPr>
      <w:tblGrid>
        <w:gridCol w:w="3211"/>
        <w:gridCol w:w="3216"/>
        <w:gridCol w:w="3211"/>
      </w:tblGrid>
      <w:tr w:rsidR="009A4008" w:rsidRPr="009A4008" w14:paraId="09146687" w14:textId="77777777" w:rsidTr="00B6247C">
        <w:trPr>
          <w:cantSplit/>
          <w:jc w:val="center"/>
        </w:trPr>
        <w:tc>
          <w:tcPr>
            <w:tcW w:w="3216" w:type="dxa"/>
            <w:shd w:val="clear" w:color="auto" w:fill="EDEDED"/>
            <w:vAlign w:val="center"/>
          </w:tcPr>
          <w:p w14:paraId="0DC068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Component</w:t>
            </w:r>
          </w:p>
        </w:tc>
        <w:tc>
          <w:tcPr>
            <w:tcW w:w="3216" w:type="dxa"/>
            <w:shd w:val="clear" w:color="auto" w:fill="EDEDED"/>
            <w:vAlign w:val="center"/>
          </w:tcPr>
          <w:p w14:paraId="2983D19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Implementation in the brief</w:t>
            </w:r>
          </w:p>
        </w:tc>
        <w:tc>
          <w:tcPr>
            <w:tcW w:w="3216" w:type="dxa"/>
            <w:shd w:val="clear" w:color="auto" w:fill="EDEDED"/>
            <w:vAlign w:val="center"/>
          </w:tcPr>
          <w:p w14:paraId="410C1F2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Expected use</w:t>
            </w:r>
          </w:p>
        </w:tc>
      </w:tr>
      <w:tr w:rsidR="009A4008" w:rsidRPr="009A4008" w14:paraId="1C4DAF5D" w14:textId="77777777" w:rsidTr="00B6247C">
        <w:trPr>
          <w:cantSplit/>
          <w:jc w:val="center"/>
        </w:trPr>
        <w:tc>
          <w:tcPr>
            <w:tcW w:w="3216" w:type="dxa"/>
            <w:vAlign w:val="center"/>
          </w:tcPr>
          <w:p w14:paraId="6EADFB7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Technical data dictionary</w:t>
            </w:r>
          </w:p>
        </w:tc>
        <w:tc>
          <w:tcPr>
            <w:tcW w:w="3216" w:type="dxa"/>
            <w:vAlign w:val="center"/>
          </w:tcPr>
          <w:p w14:paraId="23950DC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Query information_schema.COLUMNS for the medilink schema, including data type and column comments.</w:t>
            </w:r>
          </w:p>
        </w:tc>
        <w:tc>
          <w:tcPr>
            <w:tcW w:w="3216" w:type="dxa"/>
            <w:vAlign w:val="center"/>
          </w:tcPr>
          <w:p w14:paraId="283F37D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Shows table structure and technical definitions.</w:t>
            </w:r>
          </w:p>
        </w:tc>
      </w:tr>
      <w:tr w:rsidR="009A4008" w:rsidRPr="009A4008" w14:paraId="13C77A65" w14:textId="77777777" w:rsidTr="00B6247C">
        <w:trPr>
          <w:cantSplit/>
          <w:jc w:val="center"/>
        </w:trPr>
        <w:tc>
          <w:tcPr>
            <w:tcW w:w="3216" w:type="dxa"/>
            <w:vAlign w:val="center"/>
          </w:tcPr>
          <w:p w14:paraId="6B4D33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Business glossary</w:t>
            </w:r>
          </w:p>
        </w:tc>
        <w:tc>
          <w:tcPr>
            <w:tcW w:w="3216" w:type="dxa"/>
            <w:vAlign w:val="center"/>
          </w:tcPr>
          <w:p w14:paraId="0BAEBF72" w14:textId="77777777" w:rsidR="009A4008" w:rsidRPr="009A4008" w:rsidRDefault="009A4008" w:rsidP="00B6247C">
            <w:pPr>
              <w:spacing w:before="40" w:after="40"/>
              <w:rPr>
                <w:rFonts w:ascii="Times New Roman" w:hAnsi="Times New Roman" w:cs="Times New Roman"/>
                <w:sz w:val="22"/>
                <w:szCs w:val="22"/>
              </w:rPr>
            </w:pPr>
            <w:proofErr w:type="gramStart"/>
            <w:r w:rsidRPr="009A4008">
              <w:rPr>
                <w:rFonts w:ascii="Times New Roman" w:hAnsi="Times New Roman" w:cs="Times New Roman"/>
                <w:sz w:val="22"/>
                <w:szCs w:val="22"/>
              </w:rPr>
              <w:t>glossary</w:t>
            </w:r>
            <w:proofErr w:type="gramEnd"/>
            <w:r w:rsidRPr="009A4008">
              <w:rPr>
                <w:rFonts w:ascii="Times New Roman" w:hAnsi="Times New Roman" w:cs="Times New Roman"/>
                <w:sz w:val="22"/>
                <w:szCs w:val="22"/>
              </w:rPr>
              <w:t xml:space="preserve"> table containing terms such as Golden Record, OPD Attendance and Revenue.</w:t>
            </w:r>
          </w:p>
        </w:tc>
        <w:tc>
          <w:tcPr>
            <w:tcW w:w="3216" w:type="dxa"/>
            <w:vAlign w:val="center"/>
          </w:tcPr>
          <w:p w14:paraId="49F33F1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Gives business users consistent meanings.</w:t>
            </w:r>
          </w:p>
        </w:tc>
      </w:tr>
      <w:tr w:rsidR="009A4008" w:rsidRPr="009A4008" w14:paraId="06F1EF36" w14:textId="77777777" w:rsidTr="00B6247C">
        <w:trPr>
          <w:cantSplit/>
          <w:jc w:val="center"/>
        </w:trPr>
        <w:tc>
          <w:tcPr>
            <w:tcW w:w="3216" w:type="dxa"/>
            <w:vAlign w:val="center"/>
          </w:tcPr>
          <w:p w14:paraId="66AF3A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Lineage register</w:t>
            </w:r>
          </w:p>
        </w:tc>
        <w:tc>
          <w:tcPr>
            <w:tcW w:w="3216" w:type="dxa"/>
            <w:vAlign w:val="center"/>
          </w:tcPr>
          <w:p w14:paraId="6B736AF6" w14:textId="77777777" w:rsidR="009A4008" w:rsidRPr="009A4008" w:rsidRDefault="009A4008" w:rsidP="00B6247C">
            <w:pPr>
              <w:spacing w:before="40" w:after="40"/>
              <w:rPr>
                <w:rFonts w:ascii="Times New Roman" w:hAnsi="Times New Roman" w:cs="Times New Roman"/>
                <w:sz w:val="22"/>
                <w:szCs w:val="22"/>
              </w:rPr>
            </w:pPr>
            <w:proofErr w:type="gramStart"/>
            <w:r w:rsidRPr="009A4008">
              <w:rPr>
                <w:rFonts w:ascii="Times New Roman" w:hAnsi="Times New Roman" w:cs="Times New Roman"/>
                <w:sz w:val="22"/>
                <w:szCs w:val="22"/>
              </w:rPr>
              <w:t>data_lineage</w:t>
            </w:r>
            <w:proofErr w:type="gramEnd"/>
            <w:r w:rsidRPr="009A4008">
              <w:rPr>
                <w:rFonts w:ascii="Times New Roman" w:hAnsi="Times New Roman" w:cs="Times New Roman"/>
                <w:sz w:val="22"/>
                <w:szCs w:val="22"/>
              </w:rPr>
              <w:t xml:space="preserve"> table recording source_object, target_object and transformation.</w:t>
            </w:r>
          </w:p>
        </w:tc>
        <w:tc>
          <w:tcPr>
            <w:tcW w:w="3216" w:type="dxa"/>
            <w:vAlign w:val="center"/>
          </w:tcPr>
          <w:p w14:paraId="45DB3E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Explains how staging and operational data feed master and warehouse objects.</w:t>
            </w:r>
          </w:p>
        </w:tc>
      </w:tr>
      <w:tr w:rsidR="009A4008" w:rsidRPr="009A4008" w14:paraId="20237415" w14:textId="77777777" w:rsidTr="00B6247C">
        <w:trPr>
          <w:cantSplit/>
          <w:jc w:val="center"/>
        </w:trPr>
        <w:tc>
          <w:tcPr>
            <w:tcW w:w="3216" w:type="dxa"/>
            <w:vAlign w:val="center"/>
          </w:tcPr>
          <w:p w14:paraId="0A7298E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 inventory</w:t>
            </w:r>
          </w:p>
        </w:tc>
        <w:tc>
          <w:tcPr>
            <w:tcW w:w="3216" w:type="dxa"/>
            <w:vAlign w:val="center"/>
          </w:tcPr>
          <w:p w14:paraId="696179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Inventory of source name, owner, format, volume and quality reputation.</w:t>
            </w:r>
          </w:p>
        </w:tc>
        <w:tc>
          <w:tcPr>
            <w:tcW w:w="3216" w:type="dxa"/>
            <w:vAlign w:val="center"/>
          </w:tcPr>
          <w:p w14:paraId="5B77DB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Supports source onboarding and trust decisions.</w:t>
            </w:r>
          </w:p>
        </w:tc>
      </w:tr>
      <w:tr w:rsidR="009A4008" w:rsidRPr="009A4008" w14:paraId="3CE6F1AE" w14:textId="77777777" w:rsidTr="00B6247C">
        <w:trPr>
          <w:cantSplit/>
          <w:jc w:val="center"/>
        </w:trPr>
        <w:tc>
          <w:tcPr>
            <w:tcW w:w="3216" w:type="dxa"/>
            <w:vAlign w:val="center"/>
          </w:tcPr>
          <w:p w14:paraId="0B28FB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Impact analysis</w:t>
            </w:r>
          </w:p>
        </w:tc>
        <w:tc>
          <w:tcPr>
            <w:tcW w:w="3216" w:type="dxa"/>
            <w:vAlign w:val="center"/>
          </w:tcPr>
          <w:p w14:paraId="3E51E8A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One-page analysis of what depends on m_patient or another changed object.</w:t>
            </w:r>
          </w:p>
        </w:tc>
        <w:tc>
          <w:tcPr>
            <w:tcW w:w="3216" w:type="dxa"/>
            <w:vAlign w:val="center"/>
          </w:tcPr>
          <w:p w14:paraId="67582D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Helps assess the consequences of schema or definition changes.</w:t>
            </w:r>
          </w:p>
        </w:tc>
      </w:tr>
    </w:tbl>
    <w:p w14:paraId="02D28179" w14:textId="77777777" w:rsidR="009A4008" w:rsidRPr="009A4008" w:rsidRDefault="009A4008" w:rsidP="009A4008">
      <w:pPr>
        <w:rPr>
          <w:rFonts w:ascii="Times New Roman" w:hAnsi="Times New Roman" w:cs="Times New Roman"/>
          <w:sz w:val="22"/>
          <w:szCs w:val="22"/>
        </w:rPr>
      </w:pPr>
    </w:p>
    <w:p w14:paraId="60BDA99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7.2 Example lineage</w:t>
      </w:r>
    </w:p>
    <w:p w14:paraId="671FED4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describes a lineage path from stg_legacy_a and stg_legacy_b to m_patient through phone and name normalization, matching and survivorship. It also describes a path from visits and billing to fact_visits through joins to dimension tables and aggregation of billing amounts by service. These transformations should be recorded in data_lineage and checked against the SQL that actually runs.</w:t>
      </w:r>
    </w:p>
    <w:p w14:paraId="4EDDE0E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impact analysis should identify affected downstream objects if m_patient changes. Likely dependencies include patient_source_links, visits, dim_patient, fact_visits, views, data-quality queries and reports. The final impact statement should be confirmed by examining the implemented schema and queries.</w:t>
      </w:r>
    </w:p>
    <w:p w14:paraId="310AF024"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8. Security, Privacy and Compliance</w:t>
      </w:r>
    </w:p>
    <w:p w14:paraId="0BAB5B37"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8.1 Data classification</w:t>
      </w:r>
    </w:p>
    <w:p w14:paraId="47D7010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data_classification table records the sensitivity level assigned to each object. The sample classifies m_patient and visits as RESTRICTED, fact_visits as CONFIDENTIAL and dim_clinic as INTERNAL. The classification should be reviewed at column level where a table contains a mix of sensitive and less sensitive attributes. De-identification reduces exposure but does not automatically mean that all re-identification risk has disappeared.</w:t>
      </w:r>
    </w:p>
    <w:p w14:paraId="1E505925"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8.2 National ID handling</w:t>
      </w:r>
    </w:p>
    <w:p w14:paraId="0B7898D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rule is explicit: National ID must be stored as a SHA-256 hash only, never as plaintext in the trusted master. The migration procedure must be controlled so that the raw value is not copied into the master, logs or exported reports. Access to legacy source fields containing plaintext must be restricted while migration is completed, and any residual plaintext copies should be managed under an approved deletion and retention procedure. A hash of an identifier can still be personal data where it remains linkable to an individual, so the hashed value must still be protected.</w:t>
      </w:r>
    </w:p>
    <w:p w14:paraId="2C8D278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8.3 Role-based access control</w:t>
      </w:r>
    </w:p>
    <w:tbl>
      <w:tblPr>
        <w:tblStyle w:val="TableGrid"/>
        <w:tblW w:w="0" w:type="auto"/>
        <w:jc w:val="center"/>
        <w:tblLook w:val="04A0" w:firstRow="1" w:lastRow="0" w:firstColumn="1" w:lastColumn="0" w:noHBand="0" w:noVBand="1"/>
      </w:tblPr>
      <w:tblGrid>
        <w:gridCol w:w="3212"/>
        <w:gridCol w:w="3212"/>
        <w:gridCol w:w="3214"/>
      </w:tblGrid>
      <w:tr w:rsidR="009A4008" w:rsidRPr="009A4008" w14:paraId="67B4B963" w14:textId="77777777" w:rsidTr="00B6247C">
        <w:trPr>
          <w:cantSplit/>
          <w:jc w:val="center"/>
        </w:trPr>
        <w:tc>
          <w:tcPr>
            <w:tcW w:w="3216" w:type="dxa"/>
            <w:shd w:val="clear" w:color="auto" w:fill="EDEDED"/>
            <w:vAlign w:val="center"/>
          </w:tcPr>
          <w:p w14:paraId="3E317C2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Role</w:t>
            </w:r>
          </w:p>
        </w:tc>
        <w:tc>
          <w:tcPr>
            <w:tcW w:w="3216" w:type="dxa"/>
            <w:shd w:val="clear" w:color="auto" w:fill="EDEDED"/>
            <w:vAlign w:val="center"/>
          </w:tcPr>
          <w:p w14:paraId="0B75649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Intended access</w:t>
            </w:r>
          </w:p>
        </w:tc>
        <w:tc>
          <w:tcPr>
            <w:tcW w:w="3216" w:type="dxa"/>
            <w:shd w:val="clear" w:color="auto" w:fill="EDEDED"/>
            <w:vAlign w:val="center"/>
          </w:tcPr>
          <w:p w14:paraId="31A024E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Database implementation referenced in the brief</w:t>
            </w:r>
          </w:p>
        </w:tc>
      </w:tr>
      <w:tr w:rsidR="009A4008" w:rsidRPr="009A4008" w14:paraId="3CD5CDE0" w14:textId="77777777" w:rsidTr="00B6247C">
        <w:trPr>
          <w:cantSplit/>
          <w:jc w:val="center"/>
        </w:trPr>
        <w:tc>
          <w:tcPr>
            <w:tcW w:w="3216" w:type="dxa"/>
            <w:vAlign w:val="center"/>
          </w:tcPr>
          <w:p w14:paraId="1B38F46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ml_reception</w:t>
            </w:r>
          </w:p>
        </w:tc>
        <w:tc>
          <w:tcPr>
            <w:tcW w:w="3216" w:type="dxa"/>
            <w:vAlign w:val="center"/>
          </w:tcPr>
          <w:p w14:paraId="730469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Masked patient directory only.</w:t>
            </w:r>
          </w:p>
        </w:tc>
        <w:tc>
          <w:tcPr>
            <w:tcW w:w="3216" w:type="dxa"/>
            <w:vAlign w:val="center"/>
          </w:tcPr>
          <w:p w14:paraId="0B5451E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on v_patient_directory.</w:t>
            </w:r>
          </w:p>
        </w:tc>
      </w:tr>
      <w:tr w:rsidR="009A4008" w:rsidRPr="009A4008" w14:paraId="0C96BBA1" w14:textId="77777777" w:rsidTr="00B6247C">
        <w:trPr>
          <w:cantSplit/>
          <w:jc w:val="center"/>
        </w:trPr>
        <w:tc>
          <w:tcPr>
            <w:tcW w:w="3216" w:type="dxa"/>
            <w:vAlign w:val="center"/>
          </w:tcPr>
          <w:p w14:paraId="7147D97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ml_clinician</w:t>
            </w:r>
          </w:p>
        </w:tc>
        <w:tc>
          <w:tcPr>
            <w:tcW w:w="3216" w:type="dxa"/>
            <w:vAlign w:val="center"/>
          </w:tcPr>
          <w:p w14:paraId="6C6FD6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Full patient master data needed for clinical duties.</w:t>
            </w:r>
          </w:p>
        </w:tc>
        <w:tc>
          <w:tcPr>
            <w:tcW w:w="3216" w:type="dxa"/>
            <w:vAlign w:val="center"/>
          </w:tcPr>
          <w:p w14:paraId="197730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INSERT and UPDATE on m_patient, subject to operational authorization.</w:t>
            </w:r>
          </w:p>
        </w:tc>
      </w:tr>
      <w:tr w:rsidR="009A4008" w:rsidRPr="009A4008" w14:paraId="20086131" w14:textId="77777777" w:rsidTr="00B6247C">
        <w:trPr>
          <w:cantSplit/>
          <w:jc w:val="center"/>
        </w:trPr>
        <w:tc>
          <w:tcPr>
            <w:tcW w:w="3216" w:type="dxa"/>
            <w:vAlign w:val="center"/>
          </w:tcPr>
          <w:p w14:paraId="0DA8BC9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ml_analyst</w:t>
            </w:r>
          </w:p>
        </w:tc>
        <w:tc>
          <w:tcPr>
            <w:tcW w:w="3216" w:type="dxa"/>
            <w:vAlign w:val="center"/>
          </w:tcPr>
          <w:p w14:paraId="1D57FA6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warehouse data only.</w:t>
            </w:r>
          </w:p>
        </w:tc>
        <w:tc>
          <w:tcPr>
            <w:tcW w:w="3216" w:type="dxa"/>
            <w:vAlign w:val="center"/>
          </w:tcPr>
          <w:p w14:paraId="532DD31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SELECT on fact_visits and approved dimensions or reporting views.</w:t>
            </w:r>
          </w:p>
        </w:tc>
      </w:tr>
      <w:tr w:rsidR="009A4008" w:rsidRPr="009A4008" w14:paraId="2B40DA13" w14:textId="77777777" w:rsidTr="00B6247C">
        <w:trPr>
          <w:cantSplit/>
          <w:jc w:val="center"/>
        </w:trPr>
        <w:tc>
          <w:tcPr>
            <w:tcW w:w="3216" w:type="dxa"/>
            <w:vAlign w:val="center"/>
          </w:tcPr>
          <w:p w14:paraId="7C8558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ml_auditor</w:t>
            </w:r>
          </w:p>
        </w:tc>
        <w:tc>
          <w:tcPr>
            <w:tcW w:w="3216" w:type="dxa"/>
            <w:vAlign w:val="center"/>
          </w:tcPr>
          <w:p w14:paraId="22B3A0A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Read access to the evidence required for audit.</w:t>
            </w:r>
          </w:p>
        </w:tc>
        <w:tc>
          <w:tcPr>
            <w:tcW w:w="3216" w:type="dxa"/>
            <w:vAlign w:val="center"/>
          </w:tcPr>
          <w:p w14:paraId="6025F55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 xml:space="preserve">Read-only grants restricted to </w:t>
            </w:r>
            <w:proofErr w:type="gramStart"/>
            <w:r w:rsidRPr="009A4008">
              <w:rPr>
                <w:rFonts w:ascii="Times New Roman" w:hAnsi="Times New Roman" w:cs="Times New Roman"/>
                <w:sz w:val="22"/>
                <w:szCs w:val="22"/>
              </w:rPr>
              <w:t>approved</w:t>
            </w:r>
            <w:proofErr w:type="gramEnd"/>
            <w:r w:rsidRPr="009A4008">
              <w:rPr>
                <w:rFonts w:ascii="Times New Roman" w:hAnsi="Times New Roman" w:cs="Times New Roman"/>
                <w:sz w:val="22"/>
                <w:szCs w:val="22"/>
              </w:rPr>
              <w:t xml:space="preserve"> objects.</w:t>
            </w:r>
          </w:p>
        </w:tc>
      </w:tr>
    </w:tbl>
    <w:p w14:paraId="71FAE6D6" w14:textId="77777777" w:rsidR="009A4008" w:rsidRPr="009A4008" w:rsidRDefault="009A4008" w:rsidP="009A4008">
      <w:pPr>
        <w:rPr>
          <w:rFonts w:ascii="Times New Roman" w:hAnsi="Times New Roman" w:cs="Times New Roman"/>
          <w:sz w:val="22"/>
          <w:szCs w:val="22"/>
        </w:rPr>
      </w:pPr>
    </w:p>
    <w:p w14:paraId="41769B13"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lastRenderedPageBreak/>
        <w:t>The SQL examples in the brief should be checked before execution. In particular, the sample grant for ml_auditor has an incomplete object name, and the exact analyst grants should cover the required warehouse dimensions and reporting views without exposing direct identifiers. The sample account name and password should not be used as production credentials. Create named accounts with appropriate authentication and do not commit credentials to Git.</w:t>
      </w:r>
    </w:p>
    <w:p w14:paraId="7E28012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8.4 Masking and audit trails</w:t>
      </w:r>
    </w:p>
    <w:p w14:paraId="5FC0A8B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v_patient_directory view is intended to provide a masked name and phone number for reception users. Its output must be reviewed to ensure that it masks enough information to reduce unnecessary disclosure while still supporting the intended workflow. The master_audit table and trg_master_audit trigger are intended to record who changed a master record, when the change occurred and a summary of the change. Test updates should confirm that audit rows are written and that access to the audit data is restricted.</w:t>
      </w:r>
    </w:p>
    <w:p w14:paraId="7D15E21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8.5 Billing immutability</w:t>
      </w:r>
    </w:p>
    <w:p w14:paraId="4B8EF26E"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trg_billing_immutable trigger is intended to reject updates to existing billing rows with an error message instructing users to insert an adjustment instead. This supports the rule that billing rows are immutable. The final design should document the adjustment-row structure and ensure that users cannot bypass the rule through privileges or alternative procedures. A screenshot of an attempted update being rejected should be retained as evidence.</w:t>
      </w:r>
    </w:p>
    <w:p w14:paraId="45F745CB"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8.6 DPIA for SMS reminders</w:t>
      </w:r>
    </w:p>
    <w:p w14:paraId="3A3D62CD"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proposed SMS reminder service may use a patient's contact number and limited appointment information. Before launch, MediLink should document the purpose, data fields, lawful basis, intended recipients, retention period, possible harm and safeguards. Messages should avoid disclosing diagnosis, HIV status or other sensitive clinical information on a lock screen or to a person who may share the telephone. Contact preferences and the process for handling incorrect numbers should be defined.</w:t>
      </w:r>
    </w:p>
    <w:tbl>
      <w:tblPr>
        <w:tblStyle w:val="TableGrid"/>
        <w:tblW w:w="0" w:type="auto"/>
        <w:jc w:val="center"/>
        <w:tblLook w:val="04A0" w:firstRow="1" w:lastRow="0" w:firstColumn="1" w:lastColumn="0" w:noHBand="0" w:noVBand="1"/>
      </w:tblPr>
      <w:tblGrid>
        <w:gridCol w:w="4819"/>
        <w:gridCol w:w="4819"/>
      </w:tblGrid>
      <w:tr w:rsidR="009A4008" w:rsidRPr="009A4008" w14:paraId="643E2D94" w14:textId="77777777" w:rsidTr="00B6247C">
        <w:trPr>
          <w:cantSplit/>
          <w:jc w:val="center"/>
        </w:trPr>
        <w:tc>
          <w:tcPr>
            <w:tcW w:w="4824" w:type="dxa"/>
            <w:shd w:val="clear" w:color="auto" w:fill="EDEDED"/>
            <w:vAlign w:val="center"/>
          </w:tcPr>
          <w:p w14:paraId="6004151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DPIA area</w:t>
            </w:r>
          </w:p>
        </w:tc>
        <w:tc>
          <w:tcPr>
            <w:tcW w:w="4824" w:type="dxa"/>
            <w:shd w:val="clear" w:color="auto" w:fill="EDEDED"/>
            <w:vAlign w:val="center"/>
          </w:tcPr>
          <w:p w14:paraId="17A9B2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Assessment to complete</w:t>
            </w:r>
          </w:p>
        </w:tc>
      </w:tr>
      <w:tr w:rsidR="009A4008" w:rsidRPr="009A4008" w14:paraId="144EB613" w14:textId="77777777" w:rsidTr="00B6247C">
        <w:trPr>
          <w:cantSplit/>
          <w:jc w:val="center"/>
        </w:trPr>
        <w:tc>
          <w:tcPr>
            <w:tcW w:w="4824" w:type="dxa"/>
            <w:vAlign w:val="center"/>
          </w:tcPr>
          <w:p w14:paraId="40677A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Purpose</w:t>
            </w:r>
          </w:p>
        </w:tc>
        <w:tc>
          <w:tcPr>
            <w:tcW w:w="4824" w:type="dxa"/>
            <w:vAlign w:val="center"/>
          </w:tcPr>
          <w:p w14:paraId="5CCBDF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 the specific service and why SMS reminders are needed.</w:t>
            </w:r>
          </w:p>
        </w:tc>
      </w:tr>
      <w:tr w:rsidR="009A4008" w:rsidRPr="009A4008" w14:paraId="6D5FDD68" w14:textId="77777777" w:rsidTr="00B6247C">
        <w:trPr>
          <w:cantSplit/>
          <w:jc w:val="center"/>
        </w:trPr>
        <w:tc>
          <w:tcPr>
            <w:tcW w:w="4824" w:type="dxa"/>
            <w:vAlign w:val="center"/>
          </w:tcPr>
          <w:p w14:paraId="2AABAC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used</w:t>
            </w:r>
          </w:p>
        </w:tc>
        <w:tc>
          <w:tcPr>
            <w:tcW w:w="4824" w:type="dxa"/>
            <w:vAlign w:val="center"/>
          </w:tcPr>
          <w:p w14:paraId="16F919C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List the phone number, reminder date and minimum appointment information required.</w:t>
            </w:r>
          </w:p>
        </w:tc>
      </w:tr>
      <w:tr w:rsidR="009A4008" w:rsidRPr="009A4008" w14:paraId="27EC3290" w14:textId="77777777" w:rsidTr="00B6247C">
        <w:trPr>
          <w:cantSplit/>
          <w:jc w:val="center"/>
        </w:trPr>
        <w:tc>
          <w:tcPr>
            <w:tcW w:w="4824" w:type="dxa"/>
            <w:vAlign w:val="center"/>
          </w:tcPr>
          <w:p w14:paraId="11BDDC5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Lawful basis and transparency</w:t>
            </w:r>
          </w:p>
        </w:tc>
        <w:tc>
          <w:tcPr>
            <w:tcW w:w="4824" w:type="dxa"/>
            <w:vAlign w:val="center"/>
          </w:tcPr>
          <w:p w14:paraId="3BBB9FB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Confirm the applicable lawful basis and how patients are informed.</w:t>
            </w:r>
          </w:p>
        </w:tc>
      </w:tr>
      <w:tr w:rsidR="009A4008" w:rsidRPr="009A4008" w14:paraId="5F314E93" w14:textId="77777777" w:rsidTr="00B6247C">
        <w:trPr>
          <w:cantSplit/>
          <w:jc w:val="center"/>
        </w:trPr>
        <w:tc>
          <w:tcPr>
            <w:tcW w:w="4824" w:type="dxa"/>
            <w:vAlign w:val="center"/>
          </w:tcPr>
          <w:p w14:paraId="2B5C7F6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Risks</w:t>
            </w:r>
          </w:p>
        </w:tc>
        <w:tc>
          <w:tcPr>
            <w:tcW w:w="4824" w:type="dxa"/>
            <w:vAlign w:val="center"/>
          </w:tcPr>
          <w:p w14:paraId="16914C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Wrong-number disclosure, shared phones, message interception, excessive messaging and inaccurate contact data.</w:t>
            </w:r>
          </w:p>
        </w:tc>
      </w:tr>
      <w:tr w:rsidR="009A4008" w:rsidRPr="009A4008" w14:paraId="7F8135FB" w14:textId="77777777" w:rsidTr="00B6247C">
        <w:trPr>
          <w:cantSplit/>
          <w:jc w:val="center"/>
        </w:trPr>
        <w:tc>
          <w:tcPr>
            <w:tcW w:w="4824" w:type="dxa"/>
            <w:vAlign w:val="center"/>
          </w:tcPr>
          <w:p w14:paraId="01A0497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Mitigations</w:t>
            </w:r>
          </w:p>
        </w:tc>
        <w:tc>
          <w:tcPr>
            <w:tcW w:w="4824" w:type="dxa"/>
            <w:vAlign w:val="center"/>
          </w:tcPr>
          <w:p w14:paraId="7D2E97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minimal message content, validate contact details, restrict access, log sending activity and provide a process for corrections or opting out where applicable.</w:t>
            </w:r>
          </w:p>
        </w:tc>
      </w:tr>
      <w:tr w:rsidR="009A4008" w:rsidRPr="009A4008" w14:paraId="60D4B6B3" w14:textId="77777777" w:rsidTr="00B6247C">
        <w:trPr>
          <w:cantSplit/>
          <w:jc w:val="center"/>
        </w:trPr>
        <w:tc>
          <w:tcPr>
            <w:tcW w:w="4824" w:type="dxa"/>
            <w:vAlign w:val="center"/>
          </w:tcPr>
          <w:p w14:paraId="1B00EC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w:t>
            </w:r>
          </w:p>
        </w:tc>
        <w:tc>
          <w:tcPr>
            <w:tcW w:w="4824" w:type="dxa"/>
            <w:vAlign w:val="center"/>
          </w:tcPr>
          <w:p w14:paraId="0D8275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Define how long reminder logs and contact preferences are retained.</w:t>
            </w:r>
          </w:p>
        </w:tc>
      </w:tr>
      <w:tr w:rsidR="009A4008" w:rsidRPr="009A4008" w14:paraId="0D4B0A41" w14:textId="77777777" w:rsidTr="00B6247C">
        <w:trPr>
          <w:cantSplit/>
          <w:jc w:val="center"/>
        </w:trPr>
        <w:tc>
          <w:tcPr>
            <w:tcW w:w="4824" w:type="dxa"/>
            <w:vAlign w:val="center"/>
          </w:tcPr>
          <w:p w14:paraId="5B71DB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Approval</w:t>
            </w:r>
          </w:p>
        </w:tc>
        <w:tc>
          <w:tcPr>
            <w:tcW w:w="4824" w:type="dxa"/>
            <w:vAlign w:val="center"/>
          </w:tcPr>
          <w:p w14:paraId="3A0FDA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Record review by the responsible data owner and privacy lead before the service is enabled.</w:t>
            </w:r>
          </w:p>
        </w:tc>
      </w:tr>
    </w:tbl>
    <w:p w14:paraId="12D5102B" w14:textId="77777777" w:rsidR="009A4008" w:rsidRPr="009A4008" w:rsidRDefault="009A4008" w:rsidP="009A4008">
      <w:pPr>
        <w:rPr>
          <w:rFonts w:ascii="Times New Roman" w:hAnsi="Times New Roman" w:cs="Times New Roman"/>
          <w:sz w:val="22"/>
          <w:szCs w:val="22"/>
        </w:rPr>
      </w:pPr>
    </w:p>
    <w:p w14:paraId="12DA101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8.7 Incident and breach response</w:t>
      </w:r>
    </w:p>
    <w:p w14:paraId="52A76332"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compliance register identifies the lack of a breach procedure as a gap. A breach playbook should define how staff report suspected disclosure, who triages the incident, how access is contained, how evidence is preserved, how impact is assessed, who decides on required notifications and how corrective action is </w:t>
      </w:r>
      <w:r w:rsidRPr="009A4008">
        <w:rPr>
          <w:rFonts w:ascii="Times New Roman" w:hAnsi="Times New Roman" w:cs="Times New Roman"/>
          <w:sz w:val="22"/>
          <w:szCs w:val="22"/>
        </w:rPr>
        <w:lastRenderedPageBreak/>
        <w:t>recorded. Any notification deadline must be verified against applicable law and organizational policy. The final audit report should include evidence of the approved procedure and its owner.</w:t>
      </w:r>
    </w:p>
    <w:p w14:paraId="7A955B23"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8.8 Retention and lifecycle automation</w:t>
      </w:r>
    </w:p>
    <w:p w14:paraId="4ED6561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defines a 10-year clinical retention rule and shows a scheduled event named ev_archive_old_visits. It explicitly notes that the demonstration window is shortened and production retention is 10 years. The sample event uses a 10-day interval for demonstration, so it must not be represented as a production retention configuration. Test automation against synthetic or isolated test records, confirm the status transition, and document archive and authorized purge controls before considering production use.</w:t>
      </w:r>
    </w:p>
    <w:p w14:paraId="0FB153F3"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9. Analytics and Ministry of Health Reporting</w:t>
      </w:r>
    </w:p>
    <w:p w14:paraId="20EE4F78"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9.1 Reporting requirements</w:t>
      </w:r>
    </w:p>
    <w:p w14:paraId="716B7F4A"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Ministry of Health report should consolidate outpatient attendance, leading diagnoses and revenue by service, and be ready by the fifth day of each month. The warehouse is intended to reduce repeated manual extraction and make figures consistent across the four clinics. The SQL query pack should be the source of each dashboard chart so that the report can be reproduced and checked.</w:t>
      </w:r>
    </w:p>
    <w:p w14:paraId="43FF2BC6"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9.2 Required analysis</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3FD0E52E" w14:textId="77777777" w:rsidTr="00B6247C">
        <w:trPr>
          <w:cantSplit/>
          <w:jc w:val="center"/>
        </w:trPr>
        <w:tc>
          <w:tcPr>
            <w:tcW w:w="3216" w:type="dxa"/>
            <w:shd w:val="clear" w:color="auto" w:fill="EDEDED"/>
            <w:vAlign w:val="center"/>
          </w:tcPr>
          <w:p w14:paraId="2F3F285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Analysis</w:t>
            </w:r>
          </w:p>
        </w:tc>
        <w:tc>
          <w:tcPr>
            <w:tcW w:w="3216" w:type="dxa"/>
            <w:shd w:val="clear" w:color="auto" w:fill="EDEDED"/>
            <w:vAlign w:val="center"/>
          </w:tcPr>
          <w:p w14:paraId="24FC65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Question answered</w:t>
            </w:r>
          </w:p>
        </w:tc>
        <w:tc>
          <w:tcPr>
            <w:tcW w:w="3216" w:type="dxa"/>
            <w:shd w:val="clear" w:color="auto" w:fill="EDEDED"/>
            <w:vAlign w:val="center"/>
          </w:tcPr>
          <w:p w14:paraId="01BCB7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Required implementation check</w:t>
            </w:r>
          </w:p>
        </w:tc>
      </w:tr>
      <w:tr w:rsidR="009A4008" w:rsidRPr="009A4008" w14:paraId="7758654E" w14:textId="77777777" w:rsidTr="00B6247C">
        <w:trPr>
          <w:cantSplit/>
          <w:jc w:val="center"/>
        </w:trPr>
        <w:tc>
          <w:tcPr>
            <w:tcW w:w="3216" w:type="dxa"/>
            <w:vAlign w:val="center"/>
          </w:tcPr>
          <w:p w14:paraId="4BF4F83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Monthly attendance by clinic and district</w:t>
            </w:r>
          </w:p>
        </w:tc>
        <w:tc>
          <w:tcPr>
            <w:tcW w:w="3216" w:type="dxa"/>
            <w:vAlign w:val="center"/>
          </w:tcPr>
          <w:p w14:paraId="0FE44D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many visits occurred at each clinic and district each month?</w:t>
            </w:r>
          </w:p>
        </w:tc>
        <w:tc>
          <w:tcPr>
            <w:tcW w:w="3216" w:type="dxa"/>
            <w:vAlign w:val="center"/>
          </w:tcPr>
          <w:p w14:paraId="448D2F3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Check date filters, roll-ups and the definition of OPD attendance.</w:t>
            </w:r>
          </w:p>
        </w:tc>
      </w:tr>
      <w:tr w:rsidR="009A4008" w:rsidRPr="009A4008" w14:paraId="7FFDF566" w14:textId="77777777" w:rsidTr="00B6247C">
        <w:trPr>
          <w:cantSplit/>
          <w:jc w:val="center"/>
        </w:trPr>
        <w:tc>
          <w:tcPr>
            <w:tcW w:w="3216" w:type="dxa"/>
            <w:vAlign w:val="center"/>
          </w:tcPr>
          <w:p w14:paraId="153360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Leading diagnoses</w:t>
            </w:r>
          </w:p>
        </w:tc>
        <w:tc>
          <w:tcPr>
            <w:tcW w:w="3216" w:type="dxa"/>
            <w:vAlign w:val="center"/>
          </w:tcPr>
          <w:p w14:paraId="6F17DE1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Which diagnosis codes account for the largest number of visits?</w:t>
            </w:r>
          </w:p>
        </w:tc>
        <w:tc>
          <w:tcPr>
            <w:tcW w:w="3216" w:type="dxa"/>
            <w:vAlign w:val="center"/>
          </w:tcPr>
          <w:p w14:paraId="01B10AF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 clearly stated top-10 or top-5 limit consistent with the report requirement.</w:t>
            </w:r>
          </w:p>
        </w:tc>
      </w:tr>
      <w:tr w:rsidR="009A4008" w:rsidRPr="009A4008" w14:paraId="5DD644CA" w14:textId="77777777" w:rsidTr="00B6247C">
        <w:trPr>
          <w:cantSplit/>
          <w:jc w:val="center"/>
        </w:trPr>
        <w:tc>
          <w:tcPr>
            <w:tcW w:w="3216" w:type="dxa"/>
            <w:vAlign w:val="center"/>
          </w:tcPr>
          <w:p w14:paraId="4CBC443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Revenue by service</w:t>
            </w:r>
          </w:p>
        </w:tc>
        <w:tc>
          <w:tcPr>
            <w:tcW w:w="3216" w:type="dxa"/>
            <w:vAlign w:val="center"/>
          </w:tcPr>
          <w:p w14:paraId="6D90D93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much revenue was recorded for consultation, laboratory, medication and other services?</w:t>
            </w:r>
          </w:p>
        </w:tc>
        <w:tc>
          <w:tcPr>
            <w:tcW w:w="3216" w:type="dxa"/>
            <w:vAlign w:val="center"/>
          </w:tcPr>
          <w:p w14:paraId="68E96BB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actual billing service values and avoid double-counting visit-level totals.</w:t>
            </w:r>
          </w:p>
        </w:tc>
      </w:tr>
      <w:tr w:rsidR="009A4008" w:rsidRPr="009A4008" w14:paraId="484E2968" w14:textId="77777777" w:rsidTr="00B6247C">
        <w:trPr>
          <w:cantSplit/>
          <w:jc w:val="center"/>
        </w:trPr>
        <w:tc>
          <w:tcPr>
            <w:tcW w:w="3216" w:type="dxa"/>
            <w:vAlign w:val="center"/>
          </w:tcPr>
          <w:p w14:paraId="0019D6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Payment-mode mix</w:t>
            </w:r>
          </w:p>
        </w:tc>
        <w:tc>
          <w:tcPr>
            <w:tcW w:w="3216" w:type="dxa"/>
            <w:vAlign w:val="center"/>
          </w:tcPr>
          <w:p w14:paraId="7A391E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is revenue distributed across cash, mobile money and insurance?</w:t>
            </w:r>
          </w:p>
        </w:tc>
        <w:tc>
          <w:tcPr>
            <w:tcW w:w="3216" w:type="dxa"/>
            <w:vAlign w:val="center"/>
          </w:tcPr>
          <w:p w14:paraId="7C4D9B5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Retain payment_mode in the fact table or join it from an appropriate source; do not use a hard-coded placeholder.</w:t>
            </w:r>
          </w:p>
        </w:tc>
      </w:tr>
      <w:tr w:rsidR="009A4008" w:rsidRPr="009A4008" w14:paraId="480D4BEC" w14:textId="77777777" w:rsidTr="00B6247C">
        <w:trPr>
          <w:cantSplit/>
          <w:jc w:val="center"/>
        </w:trPr>
        <w:tc>
          <w:tcPr>
            <w:tcW w:w="3216" w:type="dxa"/>
            <w:vAlign w:val="center"/>
          </w:tcPr>
          <w:p w14:paraId="799766E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Three-month moving average</w:t>
            </w:r>
          </w:p>
        </w:tc>
        <w:tc>
          <w:tcPr>
            <w:tcW w:w="3216" w:type="dxa"/>
            <w:vAlign w:val="center"/>
          </w:tcPr>
          <w:p w14:paraId="405389E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does monthly attendance trend over time?</w:t>
            </w:r>
          </w:p>
        </w:tc>
        <w:tc>
          <w:tcPr>
            <w:tcW w:w="3216" w:type="dxa"/>
            <w:vAlign w:val="center"/>
          </w:tcPr>
          <w:p w14:paraId="5FDD4E2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Aggregate at month level first, then calculate the moving average.</w:t>
            </w:r>
          </w:p>
        </w:tc>
      </w:tr>
      <w:tr w:rsidR="009A4008" w:rsidRPr="009A4008" w14:paraId="68B48692" w14:textId="77777777" w:rsidTr="00B6247C">
        <w:trPr>
          <w:cantSplit/>
          <w:jc w:val="center"/>
        </w:trPr>
        <w:tc>
          <w:tcPr>
            <w:tcW w:w="3216" w:type="dxa"/>
            <w:vAlign w:val="center"/>
          </w:tcPr>
          <w:p w14:paraId="4126775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Re-attendance within 30 days</w:t>
            </w:r>
          </w:p>
        </w:tc>
        <w:tc>
          <w:tcPr>
            <w:tcW w:w="3216" w:type="dxa"/>
            <w:vAlign w:val="center"/>
          </w:tcPr>
          <w:p w14:paraId="7BBC75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What proportion of eligible patients returned within 30 days?</w:t>
            </w:r>
          </w:p>
        </w:tc>
        <w:tc>
          <w:tcPr>
            <w:tcW w:w="3216" w:type="dxa"/>
            <w:vAlign w:val="center"/>
          </w:tcPr>
          <w:p w14:paraId="07FF50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Define the denominator clearly and test the window-function query.</w:t>
            </w:r>
          </w:p>
        </w:tc>
      </w:tr>
    </w:tbl>
    <w:p w14:paraId="709B8B44" w14:textId="77777777" w:rsidR="009A4008" w:rsidRPr="009A4008" w:rsidRDefault="009A4008" w:rsidP="009A4008">
      <w:pPr>
        <w:rPr>
          <w:rFonts w:ascii="Times New Roman" w:hAnsi="Times New Roman" w:cs="Times New Roman"/>
          <w:sz w:val="22"/>
          <w:szCs w:val="22"/>
        </w:rPr>
      </w:pPr>
    </w:p>
    <w:p w14:paraId="1A3AB60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9.3 Dashboard and management finding</w:t>
      </w:r>
    </w:p>
    <w:p w14:paraId="5966DE6C"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requires a dashboard chart for each query in Power BI or Tableau and a one-page management finding. Each chart should have a clear title, date range, measure, source and short interpretation. The management finding should state what the data shows, what operational decision it may support and any limitations in the data. Avoid interpreting a small or synthetic sample as a network-wide clinical trend.</w:t>
      </w:r>
    </w:p>
    <w:p w14:paraId="5A6FBCEF"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brief's sample SQL contains incomplete expressions and placeholder logic in several places, including aggregate functions, aliases and the payment-mode example. The queries must be corrected and tested against the implemented schema. Report only results generated by the actual database, and ensure that the figures shown in the dashboard reconcile to the SQL output.</w:t>
      </w:r>
    </w:p>
    <w:p w14:paraId="0BB005A7"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10. Implementation Roadmap and Future Development</w:t>
      </w:r>
    </w:p>
    <w:p w14:paraId="7AD58F90"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10.1 Implementation sequence</w:t>
      </w:r>
    </w:p>
    <w:tbl>
      <w:tblPr>
        <w:tblStyle w:val="TableGrid"/>
        <w:tblW w:w="0" w:type="auto"/>
        <w:jc w:val="center"/>
        <w:tblLook w:val="04A0" w:firstRow="1" w:lastRow="0" w:firstColumn="1" w:lastColumn="0" w:noHBand="0" w:noVBand="1"/>
      </w:tblPr>
      <w:tblGrid>
        <w:gridCol w:w="3212"/>
        <w:gridCol w:w="3213"/>
        <w:gridCol w:w="3213"/>
      </w:tblGrid>
      <w:tr w:rsidR="009A4008" w:rsidRPr="009A4008" w14:paraId="3821B770" w14:textId="77777777" w:rsidTr="00B6247C">
        <w:trPr>
          <w:cantSplit/>
          <w:jc w:val="center"/>
        </w:trPr>
        <w:tc>
          <w:tcPr>
            <w:tcW w:w="3216" w:type="dxa"/>
            <w:shd w:val="clear" w:color="auto" w:fill="EDEDED"/>
            <w:vAlign w:val="center"/>
          </w:tcPr>
          <w:p w14:paraId="6DF1747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Stage</w:t>
            </w:r>
          </w:p>
        </w:tc>
        <w:tc>
          <w:tcPr>
            <w:tcW w:w="3216" w:type="dxa"/>
            <w:shd w:val="clear" w:color="auto" w:fill="EDEDED"/>
            <w:vAlign w:val="center"/>
          </w:tcPr>
          <w:p w14:paraId="630E858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Work</w:t>
            </w:r>
          </w:p>
        </w:tc>
        <w:tc>
          <w:tcPr>
            <w:tcW w:w="3216" w:type="dxa"/>
            <w:shd w:val="clear" w:color="auto" w:fill="EDEDED"/>
            <w:vAlign w:val="center"/>
          </w:tcPr>
          <w:p w14:paraId="3F2637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Exit evidence</w:t>
            </w:r>
          </w:p>
        </w:tc>
      </w:tr>
      <w:tr w:rsidR="009A4008" w:rsidRPr="009A4008" w14:paraId="177F834B" w14:textId="77777777" w:rsidTr="00B6247C">
        <w:trPr>
          <w:cantSplit/>
          <w:jc w:val="center"/>
        </w:trPr>
        <w:tc>
          <w:tcPr>
            <w:tcW w:w="3216" w:type="dxa"/>
            <w:vAlign w:val="center"/>
          </w:tcPr>
          <w:p w14:paraId="008717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1. Foundation</w:t>
            </w:r>
          </w:p>
        </w:tc>
        <w:tc>
          <w:tcPr>
            <w:tcW w:w="3216" w:type="dxa"/>
            <w:vAlign w:val="center"/>
          </w:tcPr>
          <w:p w14:paraId="59AA1F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Set up MySQL 8, Workbench, repository, source inventory and lifecycle policies.</w:t>
            </w:r>
          </w:p>
        </w:tc>
        <w:tc>
          <w:tcPr>
            <w:tcW w:w="3216" w:type="dxa"/>
            <w:vAlign w:val="center"/>
          </w:tcPr>
          <w:p w14:paraId="6E88F72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Connection test, repository structure, inventory and lifecycle maps.</w:t>
            </w:r>
          </w:p>
        </w:tc>
      </w:tr>
      <w:tr w:rsidR="009A4008" w:rsidRPr="009A4008" w14:paraId="2A67F3FC" w14:textId="77777777" w:rsidTr="00B6247C">
        <w:trPr>
          <w:cantSplit/>
          <w:jc w:val="center"/>
        </w:trPr>
        <w:tc>
          <w:tcPr>
            <w:tcW w:w="3216" w:type="dxa"/>
            <w:vAlign w:val="center"/>
          </w:tcPr>
          <w:p w14:paraId="11DC972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2. Governance and schema</w:t>
            </w:r>
          </w:p>
        </w:tc>
        <w:tc>
          <w:tcPr>
            <w:tcW w:w="3216" w:type="dxa"/>
            <w:vAlign w:val="center"/>
          </w:tcPr>
          <w:p w14:paraId="569FBB3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Create governance registers, core relational tables, constraints and source staging.</w:t>
            </w:r>
          </w:p>
        </w:tc>
        <w:tc>
          <w:tcPr>
            <w:tcW w:w="3216" w:type="dxa"/>
            <w:vAlign w:val="center"/>
          </w:tcPr>
          <w:p w14:paraId="48DEE7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Successful schema build, ERD and referential-integrity checks.</w:t>
            </w:r>
          </w:p>
        </w:tc>
      </w:tr>
      <w:tr w:rsidR="009A4008" w:rsidRPr="009A4008" w14:paraId="43068CBE" w14:textId="77777777" w:rsidTr="00B6247C">
        <w:trPr>
          <w:cantSplit/>
          <w:jc w:val="center"/>
        </w:trPr>
        <w:tc>
          <w:tcPr>
            <w:tcW w:w="3216" w:type="dxa"/>
            <w:vAlign w:val="center"/>
          </w:tcPr>
          <w:p w14:paraId="7107D9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3. Data quality and MDM</w:t>
            </w:r>
          </w:p>
        </w:tc>
        <w:tc>
          <w:tcPr>
            <w:tcW w:w="3216" w:type="dxa"/>
            <w:vAlign w:val="center"/>
          </w:tcPr>
          <w:p w14:paraId="55394E0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Profile and clean source data, normalize telephone values, create golden records and review queue.</w:t>
            </w:r>
          </w:p>
        </w:tc>
        <w:tc>
          <w:tcPr>
            <w:tcW w:w="3216" w:type="dxa"/>
            <w:vAlign w:val="center"/>
          </w:tcPr>
          <w:p w14:paraId="1272392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Before-and-after metrics, crosswalk query and steward-review examples.</w:t>
            </w:r>
          </w:p>
        </w:tc>
      </w:tr>
      <w:tr w:rsidR="009A4008" w:rsidRPr="009A4008" w14:paraId="78DE8B72" w14:textId="77777777" w:rsidTr="00B6247C">
        <w:trPr>
          <w:cantSplit/>
          <w:jc w:val="center"/>
        </w:trPr>
        <w:tc>
          <w:tcPr>
            <w:tcW w:w="3216" w:type="dxa"/>
            <w:vAlign w:val="center"/>
          </w:tcPr>
          <w:p w14:paraId="6D52221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4. Warehouse and metadata</w:t>
            </w:r>
          </w:p>
        </w:tc>
        <w:tc>
          <w:tcPr>
            <w:tcW w:w="3216" w:type="dxa"/>
            <w:vAlign w:val="center"/>
          </w:tcPr>
          <w:p w14:paraId="02F3FBF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Populate dimensions and fact table; document dictionary, glossary, lineage and ETL.</w:t>
            </w:r>
          </w:p>
        </w:tc>
        <w:tc>
          <w:tcPr>
            <w:tcW w:w="3216" w:type="dxa"/>
            <w:vAlign w:val="center"/>
          </w:tcPr>
          <w:p w14:paraId="65152F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ETL workflow, warehouse row counts and catalog export.</w:t>
            </w:r>
          </w:p>
        </w:tc>
      </w:tr>
      <w:tr w:rsidR="009A4008" w:rsidRPr="009A4008" w14:paraId="1DBF91DC" w14:textId="77777777" w:rsidTr="00B6247C">
        <w:trPr>
          <w:cantSplit/>
          <w:jc w:val="center"/>
        </w:trPr>
        <w:tc>
          <w:tcPr>
            <w:tcW w:w="3216" w:type="dxa"/>
            <w:vAlign w:val="center"/>
          </w:tcPr>
          <w:p w14:paraId="0C988E6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5. Security and reporting</w:t>
            </w:r>
          </w:p>
        </w:tc>
        <w:tc>
          <w:tcPr>
            <w:tcW w:w="3216" w:type="dxa"/>
            <w:vAlign w:val="center"/>
          </w:tcPr>
          <w:p w14:paraId="539BAD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Apply role permissions, masking, audit triggers and billing protection; create SQL reports and dashboard.</w:t>
            </w:r>
          </w:p>
        </w:tc>
        <w:tc>
          <w:tcPr>
            <w:tcW w:w="3216" w:type="dxa"/>
            <w:vAlign w:val="center"/>
          </w:tcPr>
          <w:p w14:paraId="16678E0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Access tests, trigger tests, compliance evidence and dashboard outputs.</w:t>
            </w:r>
          </w:p>
        </w:tc>
      </w:tr>
      <w:tr w:rsidR="009A4008" w:rsidRPr="009A4008" w14:paraId="3F3C0FC0" w14:textId="77777777" w:rsidTr="00B6247C">
        <w:trPr>
          <w:cantSplit/>
          <w:jc w:val="center"/>
        </w:trPr>
        <w:tc>
          <w:tcPr>
            <w:tcW w:w="3216" w:type="dxa"/>
            <w:vAlign w:val="center"/>
          </w:tcPr>
          <w:p w14:paraId="594B621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6. Automation and final review</w:t>
            </w:r>
          </w:p>
        </w:tc>
        <w:tc>
          <w:tcPr>
            <w:tcW w:w="3216" w:type="dxa"/>
            <w:vAlign w:val="center"/>
          </w:tcPr>
          <w:p w14:paraId="3BFDE20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Enable scheduled quality logging and lifecycle demonstration; compile strategy and rehearse presentation.</w:t>
            </w:r>
          </w:p>
        </w:tc>
        <w:tc>
          <w:tcPr>
            <w:tcW w:w="3216" w:type="dxa"/>
            <w:vAlign w:val="center"/>
          </w:tcPr>
          <w:p w14:paraId="15D59E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 logs, completed evidence checklist, final report and 15-minute demonstration.</w:t>
            </w:r>
          </w:p>
        </w:tc>
      </w:tr>
    </w:tbl>
    <w:p w14:paraId="7E350A91" w14:textId="77777777" w:rsidR="009A4008" w:rsidRPr="009A4008" w:rsidRDefault="009A4008" w:rsidP="009A4008">
      <w:pPr>
        <w:rPr>
          <w:rFonts w:ascii="Times New Roman" w:hAnsi="Times New Roman" w:cs="Times New Roman"/>
          <w:sz w:val="22"/>
          <w:szCs w:val="22"/>
        </w:rPr>
      </w:pPr>
    </w:p>
    <w:p w14:paraId="53E36A5D"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10.2 Cloud migration</w:t>
      </w:r>
    </w:p>
    <w:p w14:paraId="56745E3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A future cloud option could use a managed MySQL service to reduce the burden of database patching, backups and availability management. The decision should compare recurring cost, data residency and contractual requirements, connectivity at the clinics, recovery objectives, </w:t>
      </w:r>
      <w:proofErr w:type="gramStart"/>
      <w:r w:rsidRPr="009A4008">
        <w:rPr>
          <w:rFonts w:ascii="Times New Roman" w:hAnsi="Times New Roman" w:cs="Times New Roman"/>
          <w:sz w:val="22"/>
          <w:szCs w:val="22"/>
        </w:rPr>
        <w:t>integration</w:t>
      </w:r>
      <w:proofErr w:type="gramEnd"/>
      <w:r w:rsidRPr="009A4008">
        <w:rPr>
          <w:rFonts w:ascii="Times New Roman" w:hAnsi="Times New Roman" w:cs="Times New Roman"/>
          <w:sz w:val="22"/>
          <w:szCs w:val="22"/>
        </w:rPr>
        <w:t xml:space="preserve"> needs, staff capacity and vendor dependence. A managed service does not remove MediLink's responsibility for access control, data quality, privacy, retention and governance. The group should present this as a roadmap option, not as an implemented feature.</w:t>
      </w:r>
    </w:p>
    <w:p w14:paraId="494EEAB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10.3 Data mesh opportunities</w:t>
      </w:r>
    </w:p>
    <w:p w14:paraId="738FA261"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If the network grows, each clinic could be treated as a domain responsible for the quality and meaning of its operational data. This would not remove the need for shared patient identity rules, common definitions and central privacy controls. Any domain approach should preserve the central MDM rules and require new sources to complete catalog registration before their data is trusted.</w:t>
      </w:r>
    </w:p>
    <w:p w14:paraId="68556802"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10.4 Artificial intelligence candidates</w:t>
      </w:r>
    </w:p>
    <w:p w14:paraId="2F840FD6"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brief identifies automated diagnosis coding as a possible future use. It should remain exploratory until the network has reliable diagnosis data, an agreed coding standard, appropriate clinical review and a process for measuring errors. Any model should assist authorized staff rather than silently replace clinical judgment. Patient information should not be sent to external services without a documented lawful basis, security review and approved data-processing arrangements.</w:t>
      </w:r>
    </w:p>
    <w:p w14:paraId="786048EC"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lastRenderedPageBreak/>
        <w:t>11. Operations, Monitoring and Risk Management</w:t>
      </w:r>
    </w:p>
    <w:p w14:paraId="20DA912E"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11.1 Routine operation</w:t>
      </w:r>
    </w:p>
    <w:p w14:paraId="7C004688" w14:textId="77777777" w:rsidR="009A4008" w:rsidRPr="009A4008" w:rsidRDefault="009A4008" w:rsidP="009A4008">
      <w:pPr>
        <w:pStyle w:val="ListBullet"/>
        <w:spacing w:after="60"/>
        <w:rPr>
          <w:rFonts w:cs="Times New Roman"/>
        </w:rPr>
      </w:pPr>
      <w:r w:rsidRPr="009A4008">
        <w:rPr>
          <w:rFonts w:cs="Times New Roman"/>
        </w:rPr>
        <w:t>Review the weekly data quality scorecard and assign actions for failed checks.</w:t>
      </w:r>
    </w:p>
    <w:p w14:paraId="319ED1C8" w14:textId="77777777" w:rsidR="009A4008" w:rsidRPr="009A4008" w:rsidRDefault="009A4008" w:rsidP="009A4008">
      <w:pPr>
        <w:pStyle w:val="ListBullet"/>
        <w:spacing w:after="60"/>
        <w:rPr>
          <w:rFonts w:cs="Times New Roman"/>
        </w:rPr>
      </w:pPr>
      <w:r w:rsidRPr="009A4008">
        <w:rPr>
          <w:rFonts w:cs="Times New Roman"/>
        </w:rPr>
        <w:t>Review unresolved MDM queue items and confirm that identity conflicts are resolved by an authorized steward.</w:t>
      </w:r>
    </w:p>
    <w:p w14:paraId="34E2C198" w14:textId="77777777" w:rsidR="009A4008" w:rsidRPr="009A4008" w:rsidRDefault="009A4008" w:rsidP="009A4008">
      <w:pPr>
        <w:pStyle w:val="ListBullet"/>
        <w:spacing w:after="60"/>
        <w:rPr>
          <w:rFonts w:cs="Times New Roman"/>
        </w:rPr>
      </w:pPr>
      <w:r w:rsidRPr="009A4008">
        <w:rPr>
          <w:rFonts w:cs="Times New Roman"/>
        </w:rPr>
        <w:t>Check ETL row counts, rejected records and warehouse reconciliation before publishing monthly figures.</w:t>
      </w:r>
    </w:p>
    <w:p w14:paraId="7A29B92F" w14:textId="77777777" w:rsidR="009A4008" w:rsidRPr="009A4008" w:rsidRDefault="009A4008" w:rsidP="009A4008">
      <w:pPr>
        <w:pStyle w:val="ListBullet"/>
        <w:spacing w:after="60"/>
        <w:rPr>
          <w:rFonts w:cs="Times New Roman"/>
        </w:rPr>
      </w:pPr>
      <w:r w:rsidRPr="009A4008">
        <w:rPr>
          <w:rFonts w:cs="Times New Roman"/>
        </w:rPr>
        <w:t>Review database accounts and role assignments when staff responsibilities change.</w:t>
      </w:r>
    </w:p>
    <w:p w14:paraId="2DB23F87" w14:textId="77777777" w:rsidR="009A4008" w:rsidRPr="009A4008" w:rsidRDefault="009A4008" w:rsidP="009A4008">
      <w:pPr>
        <w:pStyle w:val="ListBullet"/>
        <w:spacing w:after="60"/>
        <w:rPr>
          <w:rFonts w:cs="Times New Roman"/>
        </w:rPr>
      </w:pPr>
      <w:r w:rsidRPr="009A4008">
        <w:rPr>
          <w:rFonts w:cs="Times New Roman"/>
        </w:rPr>
        <w:t>Check master_audit for unexpected changes and investigate anomalies.</w:t>
      </w:r>
    </w:p>
    <w:p w14:paraId="2A3BF6D6" w14:textId="77777777" w:rsidR="009A4008" w:rsidRPr="009A4008" w:rsidRDefault="009A4008" w:rsidP="009A4008">
      <w:pPr>
        <w:pStyle w:val="ListBullet"/>
        <w:spacing w:after="60"/>
        <w:rPr>
          <w:rFonts w:cs="Times New Roman"/>
        </w:rPr>
      </w:pPr>
      <w:r w:rsidRPr="009A4008">
        <w:rPr>
          <w:rFonts w:cs="Times New Roman"/>
        </w:rPr>
        <w:t>Confirm that scheduled events run, that event failures are visible and that logs are retained.</w:t>
      </w:r>
    </w:p>
    <w:p w14:paraId="59792C95" w14:textId="77777777" w:rsidR="009A4008" w:rsidRPr="009A4008" w:rsidRDefault="009A4008" w:rsidP="009A4008">
      <w:pPr>
        <w:pStyle w:val="ListBullet"/>
        <w:spacing w:after="60"/>
        <w:rPr>
          <w:rFonts w:cs="Times New Roman"/>
        </w:rPr>
      </w:pPr>
      <w:r w:rsidRPr="009A4008">
        <w:rPr>
          <w:rFonts w:cs="Times New Roman"/>
        </w:rPr>
        <w:t>Test backups and recovery procedures before relying on the platform for operational reporting.</w:t>
      </w:r>
    </w:p>
    <w:p w14:paraId="18B03CDA" w14:textId="77777777" w:rsidR="009A4008" w:rsidRPr="009A4008" w:rsidRDefault="009A4008" w:rsidP="009A4008">
      <w:pPr>
        <w:pStyle w:val="ListBullet"/>
        <w:spacing w:after="60"/>
        <w:rPr>
          <w:rFonts w:cs="Times New Roman"/>
        </w:rPr>
      </w:pPr>
      <w:r w:rsidRPr="009A4008">
        <w:rPr>
          <w:rFonts w:cs="Times New Roman"/>
        </w:rPr>
        <w:t>Review catalog entries when source definitions, schema fields or transformations change.</w:t>
      </w:r>
    </w:p>
    <w:p w14:paraId="3C1B402D" w14:textId="77777777" w:rsidR="009A4008" w:rsidRPr="009A4008" w:rsidRDefault="009A4008" w:rsidP="009A4008">
      <w:pPr>
        <w:pStyle w:val="Heading2"/>
        <w:rPr>
          <w:rFonts w:ascii="Times New Roman" w:hAnsi="Times New Roman" w:cs="Times New Roman"/>
          <w:sz w:val="22"/>
          <w:szCs w:val="22"/>
        </w:rPr>
      </w:pPr>
    </w:p>
    <w:p w14:paraId="7C79D50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t>11.2 Key risks and mitigations</w:t>
      </w:r>
    </w:p>
    <w:tbl>
      <w:tblPr>
        <w:tblStyle w:val="TableGrid"/>
        <w:tblW w:w="0" w:type="auto"/>
        <w:jc w:val="center"/>
        <w:tblLook w:val="04A0" w:firstRow="1" w:lastRow="0" w:firstColumn="1" w:lastColumn="0" w:noHBand="0" w:noVBand="1"/>
      </w:tblPr>
      <w:tblGrid>
        <w:gridCol w:w="3213"/>
        <w:gridCol w:w="3213"/>
        <w:gridCol w:w="3212"/>
      </w:tblGrid>
      <w:tr w:rsidR="009A4008" w:rsidRPr="009A4008" w14:paraId="4D65C863" w14:textId="77777777" w:rsidTr="00B6247C">
        <w:trPr>
          <w:cantSplit/>
          <w:jc w:val="center"/>
        </w:trPr>
        <w:tc>
          <w:tcPr>
            <w:tcW w:w="3216" w:type="dxa"/>
            <w:shd w:val="clear" w:color="auto" w:fill="EDEDED"/>
            <w:vAlign w:val="center"/>
          </w:tcPr>
          <w:p w14:paraId="68EEC08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Risk</w:t>
            </w:r>
          </w:p>
        </w:tc>
        <w:tc>
          <w:tcPr>
            <w:tcW w:w="3216" w:type="dxa"/>
            <w:shd w:val="clear" w:color="auto" w:fill="EDEDED"/>
            <w:vAlign w:val="center"/>
          </w:tcPr>
          <w:p w14:paraId="2A5D5B2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Possible consequence</w:t>
            </w:r>
          </w:p>
        </w:tc>
        <w:tc>
          <w:tcPr>
            <w:tcW w:w="3216" w:type="dxa"/>
            <w:shd w:val="clear" w:color="auto" w:fill="EDEDED"/>
            <w:vAlign w:val="center"/>
          </w:tcPr>
          <w:p w14:paraId="5A7ECC0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Mitigation</w:t>
            </w:r>
          </w:p>
        </w:tc>
      </w:tr>
      <w:tr w:rsidR="009A4008" w:rsidRPr="009A4008" w14:paraId="7E868719" w14:textId="77777777" w:rsidTr="00B6247C">
        <w:trPr>
          <w:cantSplit/>
          <w:jc w:val="center"/>
        </w:trPr>
        <w:tc>
          <w:tcPr>
            <w:tcW w:w="3216" w:type="dxa"/>
            <w:vAlign w:val="center"/>
          </w:tcPr>
          <w:p w14:paraId="54C55F5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Incorrect patient merge</w:t>
            </w:r>
          </w:p>
        </w:tc>
        <w:tc>
          <w:tcPr>
            <w:tcW w:w="3216" w:type="dxa"/>
            <w:vAlign w:val="center"/>
          </w:tcPr>
          <w:p w14:paraId="32E89E7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Clinical information is attributed to the wrong person.</w:t>
            </w:r>
          </w:p>
        </w:tc>
        <w:tc>
          <w:tcPr>
            <w:tcW w:w="3216" w:type="dxa"/>
            <w:vAlign w:val="center"/>
          </w:tcPr>
          <w:p w14:paraId="21135A9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normalized identifiers, avoid silent identity merges, retain crosswalks and require steward review for conflicts.</w:t>
            </w:r>
          </w:p>
        </w:tc>
      </w:tr>
      <w:tr w:rsidR="009A4008" w:rsidRPr="009A4008" w14:paraId="36682C8A" w14:textId="77777777" w:rsidTr="00B6247C">
        <w:trPr>
          <w:cantSplit/>
          <w:jc w:val="center"/>
        </w:trPr>
        <w:tc>
          <w:tcPr>
            <w:tcW w:w="3216" w:type="dxa"/>
            <w:vAlign w:val="center"/>
          </w:tcPr>
          <w:p w14:paraId="09F9D8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Invalid or shared telephone number</w:t>
            </w:r>
          </w:p>
        </w:tc>
        <w:tc>
          <w:tcPr>
            <w:tcW w:w="3216" w:type="dxa"/>
            <w:vAlign w:val="center"/>
          </w:tcPr>
          <w:p w14:paraId="50E5EC4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Failed matching or disclosure to the wrong recipient.</w:t>
            </w:r>
          </w:p>
        </w:tc>
        <w:tc>
          <w:tcPr>
            <w:tcW w:w="3216" w:type="dxa"/>
            <w:vAlign w:val="center"/>
          </w:tcPr>
          <w:p w14:paraId="1FA5CAF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Validate phone formats, flag ambiguous values and confirm contact details before SMS use.</w:t>
            </w:r>
          </w:p>
        </w:tc>
      </w:tr>
      <w:tr w:rsidR="009A4008" w:rsidRPr="009A4008" w14:paraId="54AE432B" w14:textId="77777777" w:rsidTr="00B6247C">
        <w:trPr>
          <w:cantSplit/>
          <w:jc w:val="center"/>
        </w:trPr>
        <w:tc>
          <w:tcPr>
            <w:tcW w:w="3216" w:type="dxa"/>
            <w:vAlign w:val="center"/>
          </w:tcPr>
          <w:p w14:paraId="5581768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Unauthorized access</w:t>
            </w:r>
          </w:p>
        </w:tc>
        <w:tc>
          <w:tcPr>
            <w:tcW w:w="3216" w:type="dxa"/>
            <w:vAlign w:val="center"/>
          </w:tcPr>
          <w:p w14:paraId="62AE304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Disclosure of sensitive personal or clinical data.</w:t>
            </w:r>
          </w:p>
        </w:tc>
        <w:tc>
          <w:tcPr>
            <w:tcW w:w="3216" w:type="dxa"/>
            <w:vAlign w:val="center"/>
          </w:tcPr>
          <w:p w14:paraId="4F7EF5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least privilege, masked views, named accounts, access reviews and audit logs.</w:t>
            </w:r>
          </w:p>
        </w:tc>
      </w:tr>
      <w:tr w:rsidR="009A4008" w:rsidRPr="009A4008" w14:paraId="36D3EEBF" w14:textId="77777777" w:rsidTr="00B6247C">
        <w:trPr>
          <w:cantSplit/>
          <w:jc w:val="center"/>
        </w:trPr>
        <w:tc>
          <w:tcPr>
            <w:tcW w:w="3216" w:type="dxa"/>
            <w:vAlign w:val="center"/>
          </w:tcPr>
          <w:p w14:paraId="3C53A4E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Poor source metadata</w:t>
            </w:r>
          </w:p>
        </w:tc>
        <w:tc>
          <w:tcPr>
            <w:tcW w:w="3216" w:type="dxa"/>
            <w:vAlign w:val="center"/>
          </w:tcPr>
          <w:p w14:paraId="6FEB364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Unclear definitions and untraceable data quality issues.</w:t>
            </w:r>
          </w:p>
        </w:tc>
        <w:tc>
          <w:tcPr>
            <w:tcW w:w="3216" w:type="dxa"/>
            <w:vAlign w:val="center"/>
          </w:tcPr>
          <w:p w14:paraId="2D8DDFE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Require catalog registration and ownership before accepting a source as trusted.</w:t>
            </w:r>
          </w:p>
        </w:tc>
      </w:tr>
      <w:tr w:rsidR="009A4008" w:rsidRPr="009A4008" w14:paraId="7738C427" w14:textId="77777777" w:rsidTr="00B6247C">
        <w:trPr>
          <w:cantSplit/>
          <w:jc w:val="center"/>
        </w:trPr>
        <w:tc>
          <w:tcPr>
            <w:tcW w:w="3216" w:type="dxa"/>
            <w:vAlign w:val="center"/>
          </w:tcPr>
          <w:p w14:paraId="7B7AEDF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ETL failure or duplicate loads</w:t>
            </w:r>
          </w:p>
        </w:tc>
        <w:tc>
          <w:tcPr>
            <w:tcW w:w="3216" w:type="dxa"/>
            <w:vAlign w:val="center"/>
          </w:tcPr>
          <w:p w14:paraId="360777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Missing or double-counted visits and revenue.</w:t>
            </w:r>
          </w:p>
        </w:tc>
        <w:tc>
          <w:tcPr>
            <w:tcW w:w="3216" w:type="dxa"/>
            <w:vAlign w:val="center"/>
          </w:tcPr>
          <w:p w14:paraId="57912B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controlled load order, validation checks, reconciliation and repeatable load procedures.</w:t>
            </w:r>
          </w:p>
        </w:tc>
      </w:tr>
      <w:tr w:rsidR="009A4008" w:rsidRPr="009A4008" w14:paraId="0C7AE46C" w14:textId="77777777" w:rsidTr="00B6247C">
        <w:trPr>
          <w:cantSplit/>
          <w:jc w:val="center"/>
        </w:trPr>
        <w:tc>
          <w:tcPr>
            <w:tcW w:w="3216" w:type="dxa"/>
            <w:vAlign w:val="center"/>
          </w:tcPr>
          <w:p w14:paraId="57CA0FA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Incorrect revenue query</w:t>
            </w:r>
          </w:p>
        </w:tc>
        <w:tc>
          <w:tcPr>
            <w:tcW w:w="3216" w:type="dxa"/>
            <w:vAlign w:val="center"/>
          </w:tcPr>
          <w:p w14:paraId="7DC7E49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Misleading financial reports.</w:t>
            </w:r>
          </w:p>
        </w:tc>
        <w:tc>
          <w:tcPr>
            <w:tcW w:w="3216" w:type="dxa"/>
            <w:vAlign w:val="center"/>
          </w:tcPr>
          <w:p w14:paraId="789879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Use service-level billing data, test aggregates and reconcile totals to source billing.</w:t>
            </w:r>
          </w:p>
        </w:tc>
      </w:tr>
      <w:tr w:rsidR="009A4008" w:rsidRPr="009A4008" w14:paraId="4028F9E9" w14:textId="77777777" w:rsidTr="00B6247C">
        <w:trPr>
          <w:cantSplit/>
          <w:jc w:val="center"/>
        </w:trPr>
        <w:tc>
          <w:tcPr>
            <w:tcW w:w="3216" w:type="dxa"/>
            <w:vAlign w:val="center"/>
          </w:tcPr>
          <w:p w14:paraId="6199B58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job misconfiguration</w:t>
            </w:r>
          </w:p>
        </w:tc>
        <w:tc>
          <w:tcPr>
            <w:tcW w:w="3216" w:type="dxa"/>
            <w:vAlign w:val="center"/>
          </w:tcPr>
          <w:p w14:paraId="60D537D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Premature archiving or failure to retain records.</w:t>
            </w:r>
          </w:p>
        </w:tc>
        <w:tc>
          <w:tcPr>
            <w:tcW w:w="3216" w:type="dxa"/>
            <w:vAlign w:val="center"/>
          </w:tcPr>
          <w:p w14:paraId="6ECCC18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Separate test and production schedules, verify retention rules and require authorized review.</w:t>
            </w:r>
          </w:p>
        </w:tc>
      </w:tr>
      <w:tr w:rsidR="009A4008" w:rsidRPr="009A4008" w14:paraId="1AF94562" w14:textId="77777777" w:rsidTr="00B6247C">
        <w:trPr>
          <w:cantSplit/>
          <w:jc w:val="center"/>
        </w:trPr>
        <w:tc>
          <w:tcPr>
            <w:tcW w:w="3216" w:type="dxa"/>
            <w:vAlign w:val="center"/>
          </w:tcPr>
          <w:p w14:paraId="7F083D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 turnover</w:t>
            </w:r>
          </w:p>
        </w:tc>
        <w:tc>
          <w:tcPr>
            <w:tcW w:w="3216" w:type="dxa"/>
            <w:vAlign w:val="center"/>
          </w:tcPr>
          <w:p w14:paraId="7A2794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Loss of undocumented knowledge and inconsistent decisions.</w:t>
            </w:r>
          </w:p>
        </w:tc>
        <w:tc>
          <w:tcPr>
            <w:tcW w:w="3216" w:type="dxa"/>
            <w:vAlign w:val="center"/>
          </w:tcPr>
          <w:p w14:paraId="5B8BBDB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Maintain glossary, lineage, governance roles and a documented handover process.</w:t>
            </w:r>
          </w:p>
        </w:tc>
      </w:tr>
      <w:tr w:rsidR="009A4008" w:rsidRPr="009A4008" w14:paraId="3FF6A5C3" w14:textId="77777777" w:rsidTr="00B6247C">
        <w:trPr>
          <w:cantSplit/>
          <w:jc w:val="center"/>
        </w:trPr>
        <w:tc>
          <w:tcPr>
            <w:tcW w:w="3216" w:type="dxa"/>
            <w:vAlign w:val="center"/>
          </w:tcPr>
          <w:p w14:paraId="67E793C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Growth in data volume</w:t>
            </w:r>
          </w:p>
        </w:tc>
        <w:tc>
          <w:tcPr>
            <w:tcW w:w="3216" w:type="dxa"/>
            <w:vAlign w:val="center"/>
          </w:tcPr>
          <w:p w14:paraId="3A1CDE3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Slower staging, matching and reports.</w:t>
            </w:r>
          </w:p>
        </w:tc>
        <w:tc>
          <w:tcPr>
            <w:tcW w:w="3216" w:type="dxa"/>
            <w:vAlign w:val="center"/>
          </w:tcPr>
          <w:p w14:paraId="00866C5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Measure performance, index join and filter fields, review load strategy and assess scaling needs.</w:t>
            </w:r>
          </w:p>
        </w:tc>
      </w:tr>
    </w:tbl>
    <w:p w14:paraId="7441FC1C" w14:textId="77777777" w:rsidR="009A4008" w:rsidRPr="009A4008" w:rsidRDefault="009A4008" w:rsidP="009A4008">
      <w:pPr>
        <w:rPr>
          <w:rFonts w:ascii="Times New Roman" w:hAnsi="Times New Roman" w:cs="Times New Roman"/>
          <w:sz w:val="22"/>
          <w:szCs w:val="22"/>
        </w:rPr>
      </w:pPr>
    </w:p>
    <w:p w14:paraId="2271B469" w14:textId="77777777" w:rsidR="009A4008" w:rsidRPr="009A4008" w:rsidRDefault="009A4008" w:rsidP="009A4008">
      <w:pPr>
        <w:pStyle w:val="Heading2"/>
        <w:rPr>
          <w:rFonts w:ascii="Times New Roman" w:hAnsi="Times New Roman" w:cs="Times New Roman"/>
          <w:sz w:val="22"/>
          <w:szCs w:val="22"/>
        </w:rPr>
      </w:pPr>
      <w:r w:rsidRPr="009A4008">
        <w:rPr>
          <w:rFonts w:ascii="Times New Roman" w:hAnsi="Times New Roman" w:cs="Times New Roman"/>
          <w:sz w:val="22"/>
          <w:szCs w:val="22"/>
        </w:rPr>
        <w:lastRenderedPageBreak/>
        <w:t>11.3 Performance and scale</w:t>
      </w:r>
    </w:p>
    <w:p w14:paraId="7F22EBE5"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If volume increases substantially, the first bottleneck should be identified from measurement rather than assumed. Staging loads may be affected by validation and transformation costs, MDM by matching and review volume, and reporting by joins and aggregation. The technical response may include indexing, batch processing, incremental ETL, query optimization, archiving, and capacity planning. The group should identify likely bottlenecks from test results and state what additional evidence would be needed to confirm them.</w:t>
      </w:r>
    </w:p>
    <w:p w14:paraId="79C0A287"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12. Conclusion</w:t>
      </w:r>
    </w:p>
    <w:p w14:paraId="6E281C7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MediLink project addresses a connected set of data problems: duplicate patient identities, inconsistent source values, unclear accountability, </w:t>
      </w:r>
      <w:proofErr w:type="gramStart"/>
      <w:r w:rsidRPr="009A4008">
        <w:rPr>
          <w:rFonts w:ascii="Times New Roman" w:hAnsi="Times New Roman" w:cs="Times New Roman"/>
          <w:sz w:val="22"/>
          <w:szCs w:val="22"/>
        </w:rPr>
        <w:t>privacy</w:t>
      </w:r>
      <w:proofErr w:type="gramEnd"/>
      <w:r w:rsidRPr="009A4008">
        <w:rPr>
          <w:rFonts w:ascii="Times New Roman" w:hAnsi="Times New Roman" w:cs="Times New Roman"/>
          <w:sz w:val="22"/>
          <w:szCs w:val="22"/>
        </w:rPr>
        <w:t xml:space="preserve"> exposure and slow reporting. The proposed platform brings these concerns into one lifecycle. Governance establishes ownership and policies; staging and data quality checks standardize incoming records; MDM establishes a traceable golden record; the warehouse supports consistent reporting; metadata explains meaning and lineage; and security and automation controls reduce the chance that the rules depend only on staff remembering them.</w:t>
      </w:r>
    </w:p>
    <w:p w14:paraId="13D7D73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A. Database Objects Referenced in the Design</w:t>
      </w:r>
    </w:p>
    <w:p w14:paraId="5A6853C9"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The project brief contains the following principal database objects. The list summarizes their intended purpose; it is not confirmation that every object has been successfully created in the current environment.</w:t>
      </w:r>
    </w:p>
    <w:tbl>
      <w:tblPr>
        <w:tblStyle w:val="TableGrid"/>
        <w:tblW w:w="0" w:type="auto"/>
        <w:jc w:val="center"/>
        <w:tblLook w:val="04A0" w:firstRow="1" w:lastRow="0" w:firstColumn="1" w:lastColumn="0" w:noHBand="0" w:noVBand="1"/>
      </w:tblPr>
      <w:tblGrid>
        <w:gridCol w:w="3213"/>
        <w:gridCol w:w="3212"/>
        <w:gridCol w:w="3213"/>
      </w:tblGrid>
      <w:tr w:rsidR="009A4008" w:rsidRPr="009A4008" w14:paraId="338D545F" w14:textId="77777777" w:rsidTr="00B6247C">
        <w:trPr>
          <w:cantSplit/>
          <w:jc w:val="center"/>
        </w:trPr>
        <w:tc>
          <w:tcPr>
            <w:tcW w:w="3216" w:type="dxa"/>
            <w:shd w:val="clear" w:color="auto" w:fill="EDEDED"/>
            <w:vAlign w:val="center"/>
          </w:tcPr>
          <w:p w14:paraId="6F633B0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Object</w:t>
            </w:r>
          </w:p>
        </w:tc>
        <w:tc>
          <w:tcPr>
            <w:tcW w:w="3216" w:type="dxa"/>
            <w:shd w:val="clear" w:color="auto" w:fill="EDEDED"/>
            <w:vAlign w:val="center"/>
          </w:tcPr>
          <w:p w14:paraId="4CDD7DA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Type</w:t>
            </w:r>
          </w:p>
        </w:tc>
        <w:tc>
          <w:tcPr>
            <w:tcW w:w="3216" w:type="dxa"/>
            <w:shd w:val="clear" w:color="auto" w:fill="EDEDED"/>
            <w:vAlign w:val="center"/>
          </w:tcPr>
          <w:p w14:paraId="682A22F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Purpose</w:t>
            </w:r>
          </w:p>
        </w:tc>
      </w:tr>
      <w:tr w:rsidR="009A4008" w:rsidRPr="009A4008" w14:paraId="75872485" w14:textId="77777777" w:rsidTr="00B6247C">
        <w:trPr>
          <w:cantSplit/>
          <w:jc w:val="center"/>
        </w:trPr>
        <w:tc>
          <w:tcPr>
            <w:tcW w:w="3216" w:type="dxa"/>
            <w:vAlign w:val="center"/>
          </w:tcPr>
          <w:p w14:paraId="4FEAA22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medilink</w:t>
            </w:r>
          </w:p>
        </w:tc>
        <w:tc>
          <w:tcPr>
            <w:tcW w:w="3216" w:type="dxa"/>
            <w:vAlign w:val="center"/>
          </w:tcPr>
          <w:p w14:paraId="775B32E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Database</w:t>
            </w:r>
          </w:p>
        </w:tc>
        <w:tc>
          <w:tcPr>
            <w:tcW w:w="3216" w:type="dxa"/>
            <w:vAlign w:val="center"/>
          </w:tcPr>
          <w:p w14:paraId="00BD34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Project database.</w:t>
            </w:r>
          </w:p>
        </w:tc>
      </w:tr>
      <w:tr w:rsidR="009A4008" w:rsidRPr="009A4008" w14:paraId="402B6753" w14:textId="77777777" w:rsidTr="00B6247C">
        <w:trPr>
          <w:cantSplit/>
          <w:jc w:val="center"/>
        </w:trPr>
        <w:tc>
          <w:tcPr>
            <w:tcW w:w="3216" w:type="dxa"/>
            <w:vAlign w:val="center"/>
          </w:tcPr>
          <w:p w14:paraId="5C90E66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data_lifecycle_policy</w:t>
            </w:r>
          </w:p>
        </w:tc>
        <w:tc>
          <w:tcPr>
            <w:tcW w:w="3216" w:type="dxa"/>
            <w:vAlign w:val="center"/>
          </w:tcPr>
          <w:p w14:paraId="3DE496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55C47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Retention, archive timing, lawful basis and owner by data class.</w:t>
            </w:r>
          </w:p>
        </w:tc>
      </w:tr>
      <w:tr w:rsidR="009A4008" w:rsidRPr="009A4008" w14:paraId="57A1B6F0" w14:textId="77777777" w:rsidTr="00B6247C">
        <w:trPr>
          <w:cantSplit/>
          <w:jc w:val="center"/>
        </w:trPr>
        <w:tc>
          <w:tcPr>
            <w:tcW w:w="3216" w:type="dxa"/>
            <w:vAlign w:val="center"/>
          </w:tcPr>
          <w:p w14:paraId="5C27A42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data_ownership</w:t>
            </w:r>
          </w:p>
        </w:tc>
        <w:tc>
          <w:tcPr>
            <w:tcW w:w="3216" w:type="dxa"/>
            <w:vAlign w:val="center"/>
          </w:tcPr>
          <w:p w14:paraId="77D0830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5401CE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owner, steward and custodian register.</w:t>
            </w:r>
          </w:p>
        </w:tc>
      </w:tr>
      <w:tr w:rsidR="009A4008" w:rsidRPr="009A4008" w14:paraId="5E484C6A" w14:textId="77777777" w:rsidTr="00B6247C">
        <w:trPr>
          <w:cantSplit/>
          <w:jc w:val="center"/>
        </w:trPr>
        <w:tc>
          <w:tcPr>
            <w:tcW w:w="3216" w:type="dxa"/>
            <w:vAlign w:val="center"/>
          </w:tcPr>
          <w:p w14:paraId="71F3FA0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raci</w:t>
            </w:r>
          </w:p>
        </w:tc>
        <w:tc>
          <w:tcPr>
            <w:tcW w:w="3216" w:type="dxa"/>
            <w:vAlign w:val="center"/>
          </w:tcPr>
          <w:p w14:paraId="37CC3E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17B326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Responsibilities for governance activities.</w:t>
            </w:r>
          </w:p>
        </w:tc>
      </w:tr>
      <w:tr w:rsidR="009A4008" w:rsidRPr="009A4008" w14:paraId="7E9C8094" w14:textId="77777777" w:rsidTr="00B6247C">
        <w:trPr>
          <w:cantSplit/>
          <w:jc w:val="center"/>
        </w:trPr>
        <w:tc>
          <w:tcPr>
            <w:tcW w:w="3216" w:type="dxa"/>
            <w:vAlign w:val="center"/>
          </w:tcPr>
          <w:p w14:paraId="16A8598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policies</w:t>
            </w:r>
          </w:p>
        </w:tc>
        <w:tc>
          <w:tcPr>
            <w:tcW w:w="3216" w:type="dxa"/>
            <w:vAlign w:val="center"/>
          </w:tcPr>
          <w:p w14:paraId="53801DE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5093E0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Policy register.</w:t>
            </w:r>
          </w:p>
        </w:tc>
      </w:tr>
      <w:tr w:rsidR="009A4008" w:rsidRPr="009A4008" w14:paraId="35C41C5E" w14:textId="77777777" w:rsidTr="00B6247C">
        <w:trPr>
          <w:cantSplit/>
          <w:jc w:val="center"/>
        </w:trPr>
        <w:tc>
          <w:tcPr>
            <w:tcW w:w="3216" w:type="dxa"/>
            <w:vAlign w:val="center"/>
          </w:tcPr>
          <w:p w14:paraId="54FDB4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compliance_register</w:t>
            </w:r>
          </w:p>
        </w:tc>
        <w:tc>
          <w:tcPr>
            <w:tcW w:w="3216" w:type="dxa"/>
            <w:vAlign w:val="center"/>
          </w:tcPr>
          <w:p w14:paraId="23F949F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D97DB4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Compliance requirements, gaps and remediation.</w:t>
            </w:r>
          </w:p>
        </w:tc>
      </w:tr>
      <w:tr w:rsidR="009A4008" w:rsidRPr="009A4008" w14:paraId="6BA87871" w14:textId="77777777" w:rsidTr="00B6247C">
        <w:trPr>
          <w:cantSplit/>
          <w:jc w:val="center"/>
        </w:trPr>
        <w:tc>
          <w:tcPr>
            <w:tcW w:w="3216" w:type="dxa"/>
            <w:vAlign w:val="center"/>
          </w:tcPr>
          <w:p w14:paraId="3F81195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clinics</w:t>
            </w:r>
          </w:p>
        </w:tc>
        <w:tc>
          <w:tcPr>
            <w:tcW w:w="3216" w:type="dxa"/>
            <w:vAlign w:val="center"/>
          </w:tcPr>
          <w:p w14:paraId="56B6EF1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42FFD5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master.</w:t>
            </w:r>
          </w:p>
        </w:tc>
      </w:tr>
      <w:tr w:rsidR="009A4008" w:rsidRPr="009A4008" w14:paraId="2785E7DA" w14:textId="77777777" w:rsidTr="00B6247C">
        <w:trPr>
          <w:cantSplit/>
          <w:jc w:val="center"/>
        </w:trPr>
        <w:tc>
          <w:tcPr>
            <w:tcW w:w="3216" w:type="dxa"/>
            <w:vAlign w:val="center"/>
          </w:tcPr>
          <w:p w14:paraId="3921815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w:t>
            </w:r>
          </w:p>
        </w:tc>
        <w:tc>
          <w:tcPr>
            <w:tcW w:w="3216" w:type="dxa"/>
            <w:vAlign w:val="center"/>
          </w:tcPr>
          <w:p w14:paraId="556B848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8C70E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Staff and clinic relationships.</w:t>
            </w:r>
          </w:p>
        </w:tc>
      </w:tr>
      <w:tr w:rsidR="009A4008" w:rsidRPr="009A4008" w14:paraId="4216F7F6" w14:textId="77777777" w:rsidTr="00B6247C">
        <w:trPr>
          <w:cantSplit/>
          <w:jc w:val="center"/>
        </w:trPr>
        <w:tc>
          <w:tcPr>
            <w:tcW w:w="3216" w:type="dxa"/>
            <w:vAlign w:val="center"/>
          </w:tcPr>
          <w:p w14:paraId="571C6B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m_patient</w:t>
            </w:r>
          </w:p>
        </w:tc>
        <w:tc>
          <w:tcPr>
            <w:tcW w:w="3216" w:type="dxa"/>
            <w:vAlign w:val="center"/>
          </w:tcPr>
          <w:p w14:paraId="7859429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135BC16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Golden patient master.</w:t>
            </w:r>
          </w:p>
        </w:tc>
      </w:tr>
      <w:tr w:rsidR="009A4008" w:rsidRPr="009A4008" w14:paraId="7BFCF96B" w14:textId="77777777" w:rsidTr="00B6247C">
        <w:trPr>
          <w:cantSplit/>
          <w:jc w:val="center"/>
        </w:trPr>
        <w:tc>
          <w:tcPr>
            <w:tcW w:w="3216" w:type="dxa"/>
            <w:vAlign w:val="center"/>
          </w:tcPr>
          <w:p w14:paraId="0633820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patient_source_links</w:t>
            </w:r>
          </w:p>
        </w:tc>
        <w:tc>
          <w:tcPr>
            <w:tcW w:w="3216" w:type="dxa"/>
            <w:vAlign w:val="center"/>
          </w:tcPr>
          <w:p w14:paraId="010FB1A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21EA06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Source-to-master crosswalk.</w:t>
            </w:r>
          </w:p>
        </w:tc>
      </w:tr>
      <w:tr w:rsidR="009A4008" w:rsidRPr="009A4008" w14:paraId="18B4C672" w14:textId="77777777" w:rsidTr="00B6247C">
        <w:trPr>
          <w:cantSplit/>
          <w:jc w:val="center"/>
        </w:trPr>
        <w:tc>
          <w:tcPr>
            <w:tcW w:w="3216" w:type="dxa"/>
            <w:vAlign w:val="center"/>
          </w:tcPr>
          <w:p w14:paraId="32F96D4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visits</w:t>
            </w:r>
          </w:p>
        </w:tc>
        <w:tc>
          <w:tcPr>
            <w:tcW w:w="3216" w:type="dxa"/>
            <w:vAlign w:val="center"/>
          </w:tcPr>
          <w:p w14:paraId="25E28D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F5FC92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Operational visit records.</w:t>
            </w:r>
          </w:p>
        </w:tc>
      </w:tr>
      <w:tr w:rsidR="009A4008" w:rsidRPr="009A4008" w14:paraId="6B79239E" w14:textId="77777777" w:rsidTr="00B6247C">
        <w:trPr>
          <w:cantSplit/>
          <w:jc w:val="center"/>
        </w:trPr>
        <w:tc>
          <w:tcPr>
            <w:tcW w:w="3216" w:type="dxa"/>
            <w:vAlign w:val="center"/>
          </w:tcPr>
          <w:p w14:paraId="6A2DBE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billing</w:t>
            </w:r>
          </w:p>
        </w:tc>
        <w:tc>
          <w:tcPr>
            <w:tcW w:w="3216" w:type="dxa"/>
            <w:vAlign w:val="center"/>
          </w:tcPr>
          <w:p w14:paraId="77FECCC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50352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Service charges and payment mode.</w:t>
            </w:r>
          </w:p>
        </w:tc>
      </w:tr>
      <w:tr w:rsidR="009A4008" w:rsidRPr="009A4008" w14:paraId="18CBCF1C" w14:textId="77777777" w:rsidTr="00B6247C">
        <w:trPr>
          <w:cantSplit/>
          <w:jc w:val="center"/>
        </w:trPr>
        <w:tc>
          <w:tcPr>
            <w:tcW w:w="3216" w:type="dxa"/>
            <w:vAlign w:val="center"/>
          </w:tcPr>
          <w:p w14:paraId="215867D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stg_legacy_a</w:t>
            </w:r>
          </w:p>
        </w:tc>
        <w:tc>
          <w:tcPr>
            <w:tcW w:w="3216" w:type="dxa"/>
            <w:vAlign w:val="center"/>
          </w:tcPr>
          <w:p w14:paraId="5793D4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D40C4D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Legacy A source staging.</w:t>
            </w:r>
          </w:p>
        </w:tc>
      </w:tr>
      <w:tr w:rsidR="009A4008" w:rsidRPr="009A4008" w14:paraId="6607800A" w14:textId="77777777" w:rsidTr="00B6247C">
        <w:trPr>
          <w:cantSplit/>
          <w:jc w:val="center"/>
        </w:trPr>
        <w:tc>
          <w:tcPr>
            <w:tcW w:w="3216" w:type="dxa"/>
            <w:vAlign w:val="center"/>
          </w:tcPr>
          <w:p w14:paraId="5DD533B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stg_legacy_b</w:t>
            </w:r>
          </w:p>
        </w:tc>
        <w:tc>
          <w:tcPr>
            <w:tcW w:w="3216" w:type="dxa"/>
            <w:vAlign w:val="center"/>
          </w:tcPr>
          <w:p w14:paraId="572D1B4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87CC7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Legacy B source staging.</w:t>
            </w:r>
          </w:p>
        </w:tc>
      </w:tr>
      <w:tr w:rsidR="009A4008" w:rsidRPr="009A4008" w14:paraId="146D9678" w14:textId="77777777" w:rsidTr="00B6247C">
        <w:trPr>
          <w:cantSplit/>
          <w:jc w:val="center"/>
        </w:trPr>
        <w:tc>
          <w:tcPr>
            <w:tcW w:w="3216" w:type="dxa"/>
            <w:vAlign w:val="center"/>
          </w:tcPr>
          <w:p w14:paraId="48C7EC8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mdm_review_queue</w:t>
            </w:r>
          </w:p>
        </w:tc>
        <w:tc>
          <w:tcPr>
            <w:tcW w:w="3216" w:type="dxa"/>
            <w:vAlign w:val="center"/>
          </w:tcPr>
          <w:p w14:paraId="38C8E7C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E70B21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Unmatched or conflicting records awaiting review.</w:t>
            </w:r>
          </w:p>
        </w:tc>
      </w:tr>
      <w:tr w:rsidR="009A4008" w:rsidRPr="009A4008" w14:paraId="157EEDCE" w14:textId="77777777" w:rsidTr="00B6247C">
        <w:trPr>
          <w:cantSplit/>
          <w:jc w:val="center"/>
        </w:trPr>
        <w:tc>
          <w:tcPr>
            <w:tcW w:w="3216" w:type="dxa"/>
            <w:vAlign w:val="center"/>
          </w:tcPr>
          <w:p w14:paraId="4B32393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dim_clinic</w:t>
            </w:r>
          </w:p>
        </w:tc>
        <w:tc>
          <w:tcPr>
            <w:tcW w:w="3216" w:type="dxa"/>
            <w:vAlign w:val="center"/>
          </w:tcPr>
          <w:p w14:paraId="60C98842"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E7D3C4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Clinic warehouse dimension.</w:t>
            </w:r>
          </w:p>
        </w:tc>
      </w:tr>
      <w:tr w:rsidR="009A4008" w:rsidRPr="009A4008" w14:paraId="6BE1DB6C" w14:textId="77777777" w:rsidTr="00B6247C">
        <w:trPr>
          <w:cantSplit/>
          <w:jc w:val="center"/>
        </w:trPr>
        <w:tc>
          <w:tcPr>
            <w:tcW w:w="3216" w:type="dxa"/>
            <w:vAlign w:val="center"/>
          </w:tcPr>
          <w:p w14:paraId="4175A22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dim_patient</w:t>
            </w:r>
          </w:p>
        </w:tc>
        <w:tc>
          <w:tcPr>
            <w:tcW w:w="3216" w:type="dxa"/>
            <w:vAlign w:val="center"/>
          </w:tcPr>
          <w:p w14:paraId="58DB3D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6DD3A80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De-identified patient warehouse dimension.</w:t>
            </w:r>
          </w:p>
        </w:tc>
      </w:tr>
      <w:tr w:rsidR="009A4008" w:rsidRPr="009A4008" w14:paraId="2FDB8CA6" w14:textId="77777777" w:rsidTr="00B6247C">
        <w:trPr>
          <w:cantSplit/>
          <w:jc w:val="center"/>
        </w:trPr>
        <w:tc>
          <w:tcPr>
            <w:tcW w:w="3216" w:type="dxa"/>
            <w:vAlign w:val="center"/>
          </w:tcPr>
          <w:p w14:paraId="52ABB82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lastRenderedPageBreak/>
              <w:t>dim_date</w:t>
            </w:r>
          </w:p>
        </w:tc>
        <w:tc>
          <w:tcPr>
            <w:tcW w:w="3216" w:type="dxa"/>
            <w:vAlign w:val="center"/>
          </w:tcPr>
          <w:p w14:paraId="20C42B4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20BDE3D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Calendar dimension.</w:t>
            </w:r>
          </w:p>
        </w:tc>
      </w:tr>
      <w:tr w:rsidR="009A4008" w:rsidRPr="009A4008" w14:paraId="23BB5F36" w14:textId="77777777" w:rsidTr="00B6247C">
        <w:trPr>
          <w:cantSplit/>
          <w:jc w:val="center"/>
        </w:trPr>
        <w:tc>
          <w:tcPr>
            <w:tcW w:w="3216" w:type="dxa"/>
            <w:vAlign w:val="center"/>
          </w:tcPr>
          <w:p w14:paraId="14AF7D5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fact_visits</w:t>
            </w:r>
          </w:p>
        </w:tc>
        <w:tc>
          <w:tcPr>
            <w:tcW w:w="3216" w:type="dxa"/>
            <w:vAlign w:val="center"/>
          </w:tcPr>
          <w:p w14:paraId="2B6865E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5F1AD7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Visit and billing measures for analytics.</w:t>
            </w:r>
          </w:p>
        </w:tc>
      </w:tr>
      <w:tr w:rsidR="009A4008" w:rsidRPr="009A4008" w14:paraId="2DE853E5" w14:textId="77777777" w:rsidTr="00B6247C">
        <w:trPr>
          <w:cantSplit/>
          <w:jc w:val="center"/>
        </w:trPr>
        <w:tc>
          <w:tcPr>
            <w:tcW w:w="3216" w:type="dxa"/>
            <w:vAlign w:val="center"/>
          </w:tcPr>
          <w:p w14:paraId="66404EC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glossary</w:t>
            </w:r>
          </w:p>
        </w:tc>
        <w:tc>
          <w:tcPr>
            <w:tcW w:w="3216" w:type="dxa"/>
            <w:vAlign w:val="center"/>
          </w:tcPr>
          <w:p w14:paraId="4C1A9F3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45B4E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Business definitions.</w:t>
            </w:r>
          </w:p>
        </w:tc>
      </w:tr>
      <w:tr w:rsidR="009A4008" w:rsidRPr="009A4008" w14:paraId="1CDD11D6" w14:textId="77777777" w:rsidTr="00B6247C">
        <w:trPr>
          <w:cantSplit/>
          <w:jc w:val="center"/>
        </w:trPr>
        <w:tc>
          <w:tcPr>
            <w:tcW w:w="3216" w:type="dxa"/>
            <w:vAlign w:val="center"/>
          </w:tcPr>
          <w:p w14:paraId="44E74A9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data_lineage</w:t>
            </w:r>
          </w:p>
        </w:tc>
        <w:tc>
          <w:tcPr>
            <w:tcW w:w="3216" w:type="dxa"/>
            <w:vAlign w:val="center"/>
          </w:tcPr>
          <w:p w14:paraId="78263B6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6DC0E9FA"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Source-to-target transformation lineage.</w:t>
            </w:r>
          </w:p>
        </w:tc>
      </w:tr>
      <w:tr w:rsidR="009A4008" w:rsidRPr="009A4008" w14:paraId="38B87F9E" w14:textId="77777777" w:rsidTr="00B6247C">
        <w:trPr>
          <w:cantSplit/>
          <w:jc w:val="center"/>
        </w:trPr>
        <w:tc>
          <w:tcPr>
            <w:tcW w:w="3216" w:type="dxa"/>
            <w:vAlign w:val="center"/>
          </w:tcPr>
          <w:p w14:paraId="6801F5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data_classification</w:t>
            </w:r>
          </w:p>
        </w:tc>
        <w:tc>
          <w:tcPr>
            <w:tcW w:w="3216" w:type="dxa"/>
            <w:vAlign w:val="center"/>
          </w:tcPr>
          <w:p w14:paraId="2E349A5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331146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Sensitivity classification by object.</w:t>
            </w:r>
          </w:p>
        </w:tc>
      </w:tr>
      <w:tr w:rsidR="009A4008" w:rsidRPr="009A4008" w14:paraId="768A0C9D" w14:textId="77777777" w:rsidTr="00B6247C">
        <w:trPr>
          <w:cantSplit/>
          <w:jc w:val="center"/>
        </w:trPr>
        <w:tc>
          <w:tcPr>
            <w:tcW w:w="3216" w:type="dxa"/>
            <w:vAlign w:val="center"/>
          </w:tcPr>
          <w:p w14:paraId="19049A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master_audit</w:t>
            </w:r>
          </w:p>
        </w:tc>
        <w:tc>
          <w:tcPr>
            <w:tcW w:w="3216" w:type="dxa"/>
            <w:vAlign w:val="center"/>
          </w:tcPr>
          <w:p w14:paraId="60ADD2B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077A368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Master-data change audit trail.</w:t>
            </w:r>
          </w:p>
        </w:tc>
      </w:tr>
      <w:tr w:rsidR="009A4008" w:rsidRPr="009A4008" w14:paraId="2CE4E14C" w14:textId="77777777" w:rsidTr="00B6247C">
        <w:trPr>
          <w:cantSplit/>
          <w:jc w:val="center"/>
        </w:trPr>
        <w:tc>
          <w:tcPr>
            <w:tcW w:w="3216" w:type="dxa"/>
            <w:vAlign w:val="center"/>
          </w:tcPr>
          <w:p w14:paraId="2912D8C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dq_scorecard_log</w:t>
            </w:r>
          </w:p>
        </w:tc>
        <w:tc>
          <w:tcPr>
            <w:tcW w:w="3216" w:type="dxa"/>
            <w:vAlign w:val="center"/>
          </w:tcPr>
          <w:p w14:paraId="5311FF0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Table</w:t>
            </w:r>
          </w:p>
        </w:tc>
        <w:tc>
          <w:tcPr>
            <w:tcW w:w="3216" w:type="dxa"/>
            <w:vAlign w:val="center"/>
          </w:tcPr>
          <w:p w14:paraId="7470F7F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Scheduled quality metric history.</w:t>
            </w:r>
          </w:p>
        </w:tc>
      </w:tr>
      <w:tr w:rsidR="009A4008" w:rsidRPr="009A4008" w14:paraId="61EB2388" w14:textId="77777777" w:rsidTr="00B6247C">
        <w:trPr>
          <w:cantSplit/>
          <w:jc w:val="center"/>
        </w:trPr>
        <w:tc>
          <w:tcPr>
            <w:tcW w:w="3216" w:type="dxa"/>
            <w:vAlign w:val="center"/>
          </w:tcPr>
          <w:p w14:paraId="63A3E71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v_dq_scorecard</w:t>
            </w:r>
          </w:p>
        </w:tc>
        <w:tc>
          <w:tcPr>
            <w:tcW w:w="3216" w:type="dxa"/>
            <w:vAlign w:val="center"/>
          </w:tcPr>
          <w:p w14:paraId="21E640D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1951606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Master data quality measures.</w:t>
            </w:r>
          </w:p>
        </w:tc>
      </w:tr>
      <w:tr w:rsidR="009A4008" w:rsidRPr="009A4008" w14:paraId="1F60EFC2" w14:textId="77777777" w:rsidTr="00B6247C">
        <w:trPr>
          <w:cantSplit/>
          <w:jc w:val="center"/>
        </w:trPr>
        <w:tc>
          <w:tcPr>
            <w:tcW w:w="3216" w:type="dxa"/>
            <w:vAlign w:val="center"/>
          </w:tcPr>
          <w:p w14:paraId="14BEFE6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v_all_sources</w:t>
            </w:r>
          </w:p>
        </w:tc>
        <w:tc>
          <w:tcPr>
            <w:tcW w:w="3216" w:type="dxa"/>
            <w:vAlign w:val="center"/>
          </w:tcPr>
          <w:p w14:paraId="7E31D7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592945A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Union of standardized source records.</w:t>
            </w:r>
          </w:p>
        </w:tc>
      </w:tr>
      <w:tr w:rsidR="009A4008" w:rsidRPr="009A4008" w14:paraId="3767C27D" w14:textId="77777777" w:rsidTr="00B6247C">
        <w:trPr>
          <w:cantSplit/>
          <w:jc w:val="center"/>
        </w:trPr>
        <w:tc>
          <w:tcPr>
            <w:tcW w:w="3216" w:type="dxa"/>
            <w:vAlign w:val="center"/>
          </w:tcPr>
          <w:p w14:paraId="64DA96C7"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v_patient_directory</w:t>
            </w:r>
          </w:p>
        </w:tc>
        <w:tc>
          <w:tcPr>
            <w:tcW w:w="3216" w:type="dxa"/>
            <w:vAlign w:val="center"/>
          </w:tcPr>
          <w:p w14:paraId="30D73E10"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View</w:t>
            </w:r>
          </w:p>
        </w:tc>
        <w:tc>
          <w:tcPr>
            <w:tcW w:w="3216" w:type="dxa"/>
            <w:vAlign w:val="center"/>
          </w:tcPr>
          <w:p w14:paraId="4C74C99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Masked patient directory.</w:t>
            </w:r>
          </w:p>
        </w:tc>
      </w:tr>
      <w:tr w:rsidR="009A4008" w:rsidRPr="009A4008" w14:paraId="224B6EA7" w14:textId="77777777" w:rsidTr="00B6247C">
        <w:trPr>
          <w:cantSplit/>
          <w:jc w:val="center"/>
        </w:trPr>
        <w:tc>
          <w:tcPr>
            <w:tcW w:w="3216" w:type="dxa"/>
            <w:vAlign w:val="center"/>
          </w:tcPr>
          <w:p w14:paraId="229CF43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fill_dim_date</w:t>
            </w:r>
          </w:p>
        </w:tc>
        <w:tc>
          <w:tcPr>
            <w:tcW w:w="3216" w:type="dxa"/>
            <w:vAlign w:val="center"/>
          </w:tcPr>
          <w:p w14:paraId="7A512A9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Procedure</w:t>
            </w:r>
          </w:p>
        </w:tc>
        <w:tc>
          <w:tcPr>
            <w:tcW w:w="3216" w:type="dxa"/>
            <w:vAlign w:val="center"/>
          </w:tcPr>
          <w:p w14:paraId="16DC739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Populates the date dimension.</w:t>
            </w:r>
          </w:p>
        </w:tc>
      </w:tr>
      <w:tr w:rsidR="009A4008" w:rsidRPr="009A4008" w14:paraId="2F6C546B" w14:textId="77777777" w:rsidTr="00B6247C">
        <w:trPr>
          <w:cantSplit/>
          <w:jc w:val="center"/>
        </w:trPr>
        <w:tc>
          <w:tcPr>
            <w:tcW w:w="3216" w:type="dxa"/>
            <w:vAlign w:val="center"/>
          </w:tcPr>
          <w:p w14:paraId="42E0CD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trg_billing_immutable</w:t>
            </w:r>
          </w:p>
        </w:tc>
        <w:tc>
          <w:tcPr>
            <w:tcW w:w="3216" w:type="dxa"/>
            <w:vAlign w:val="center"/>
          </w:tcPr>
          <w:p w14:paraId="4541BA0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w:t>
            </w:r>
          </w:p>
        </w:tc>
        <w:tc>
          <w:tcPr>
            <w:tcW w:w="3216" w:type="dxa"/>
            <w:vAlign w:val="center"/>
          </w:tcPr>
          <w:p w14:paraId="058A8DB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Rejects updates to existing billing rows.</w:t>
            </w:r>
          </w:p>
        </w:tc>
      </w:tr>
      <w:tr w:rsidR="009A4008" w:rsidRPr="009A4008" w14:paraId="7D69DC10" w14:textId="77777777" w:rsidTr="00B6247C">
        <w:trPr>
          <w:cantSplit/>
          <w:jc w:val="center"/>
        </w:trPr>
        <w:tc>
          <w:tcPr>
            <w:tcW w:w="3216" w:type="dxa"/>
            <w:vAlign w:val="center"/>
          </w:tcPr>
          <w:p w14:paraId="69EF4EA8"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trg_master_audit</w:t>
            </w:r>
          </w:p>
        </w:tc>
        <w:tc>
          <w:tcPr>
            <w:tcW w:w="3216" w:type="dxa"/>
            <w:vAlign w:val="center"/>
          </w:tcPr>
          <w:p w14:paraId="1CA96F4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Trigger</w:t>
            </w:r>
          </w:p>
        </w:tc>
        <w:tc>
          <w:tcPr>
            <w:tcW w:w="3216" w:type="dxa"/>
            <w:vAlign w:val="center"/>
          </w:tcPr>
          <w:p w14:paraId="2B1FC8D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Writes master changes to master_audit.</w:t>
            </w:r>
          </w:p>
        </w:tc>
      </w:tr>
      <w:tr w:rsidR="009A4008" w:rsidRPr="009A4008" w14:paraId="2A2AC3F4" w14:textId="77777777" w:rsidTr="00B6247C">
        <w:trPr>
          <w:cantSplit/>
          <w:jc w:val="center"/>
        </w:trPr>
        <w:tc>
          <w:tcPr>
            <w:tcW w:w="3216" w:type="dxa"/>
            <w:vAlign w:val="center"/>
          </w:tcPr>
          <w:p w14:paraId="612C55D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ev_nightly_dq</w:t>
            </w:r>
          </w:p>
        </w:tc>
        <w:tc>
          <w:tcPr>
            <w:tcW w:w="3216" w:type="dxa"/>
            <w:vAlign w:val="center"/>
          </w:tcPr>
          <w:p w14:paraId="7CE5CEA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w:t>
            </w:r>
          </w:p>
        </w:tc>
        <w:tc>
          <w:tcPr>
            <w:tcW w:w="3216" w:type="dxa"/>
            <w:vAlign w:val="center"/>
          </w:tcPr>
          <w:p w14:paraId="1736BE2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Logs daily data quality results.</w:t>
            </w:r>
          </w:p>
        </w:tc>
      </w:tr>
      <w:tr w:rsidR="009A4008" w:rsidRPr="009A4008" w14:paraId="1D6CC5DD" w14:textId="77777777" w:rsidTr="00B6247C">
        <w:trPr>
          <w:cantSplit/>
          <w:jc w:val="center"/>
        </w:trPr>
        <w:tc>
          <w:tcPr>
            <w:tcW w:w="3216" w:type="dxa"/>
            <w:vAlign w:val="center"/>
          </w:tcPr>
          <w:p w14:paraId="45AC27E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ev_archive_old_visits</w:t>
            </w:r>
          </w:p>
        </w:tc>
        <w:tc>
          <w:tcPr>
            <w:tcW w:w="3216" w:type="dxa"/>
            <w:vAlign w:val="center"/>
          </w:tcPr>
          <w:p w14:paraId="7884A974"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Event</w:t>
            </w:r>
          </w:p>
        </w:tc>
        <w:tc>
          <w:tcPr>
            <w:tcW w:w="3216" w:type="dxa"/>
            <w:vAlign w:val="center"/>
          </w:tcPr>
          <w:p w14:paraId="1465B8B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Demonstrates scheduled archiving.</w:t>
            </w:r>
          </w:p>
        </w:tc>
      </w:tr>
    </w:tbl>
    <w:p w14:paraId="70EF6049" w14:textId="77777777" w:rsidR="009A4008" w:rsidRPr="009A4008" w:rsidRDefault="009A4008" w:rsidP="009A4008">
      <w:pPr>
        <w:rPr>
          <w:rFonts w:ascii="Times New Roman" w:hAnsi="Times New Roman" w:cs="Times New Roman"/>
          <w:sz w:val="22"/>
          <w:szCs w:val="22"/>
        </w:rPr>
      </w:pPr>
    </w:p>
    <w:p w14:paraId="2A4DC8C8"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 xml:space="preserve">The brief also defines four roles: ml_reception, ml_clinician, ml_analyst and ml_auditor. It includes one sample database user, </w:t>
      </w:r>
      <w:proofErr w:type="gramStart"/>
      <w:r w:rsidRPr="009A4008">
        <w:rPr>
          <w:rFonts w:ascii="Times New Roman" w:hAnsi="Times New Roman" w:cs="Times New Roman"/>
          <w:sz w:val="22"/>
          <w:szCs w:val="22"/>
        </w:rPr>
        <w:t>agnes</w:t>
      </w:r>
      <w:proofErr w:type="gramEnd"/>
      <w:r w:rsidRPr="009A4008">
        <w:rPr>
          <w:rFonts w:ascii="Times New Roman" w:hAnsi="Times New Roman" w:cs="Times New Roman"/>
          <w:sz w:val="22"/>
          <w:szCs w:val="22"/>
        </w:rPr>
        <w:t>, which should be treated as an example rather than a recommended shared or production account.</w:t>
      </w:r>
    </w:p>
    <w:p w14:paraId="051C68AB"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B. Evidence and Completion Checklist</w:t>
      </w:r>
    </w:p>
    <w:p w14:paraId="2DE80A97"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Confirm MySQL version and successful connection to the medilink database.</w:t>
      </w:r>
    </w:p>
    <w:p w14:paraId="39EB0B9D"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the schema script and retain the final successful execution evidence.</w:t>
      </w:r>
    </w:p>
    <w:p w14:paraId="092947D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Verify all expected tables, views, procedure, triggers, roles and events in the database.</w:t>
      </w:r>
    </w:p>
    <w:p w14:paraId="0FB52F90"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Capture the source inventory and completed lifecycle maps.</w:t>
      </w:r>
    </w:p>
    <w:p w14:paraId="34EE6CD9"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Insert the final architecture diagram and ERD.</w:t>
      </w:r>
    </w:p>
    <w:p w14:paraId="39D289E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data quality queries before and after cleaning and enter the actual results in Section 5.</w:t>
      </w:r>
    </w:p>
    <w:p w14:paraId="5D00A720"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Verify normalized phone formats and document invalid or unresolved values.</w:t>
      </w:r>
    </w:p>
    <w:p w14:paraId="7D185269"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Run the Sarah Nakato MDM example or the equivalent actual test and show its crosswalk.</w:t>
      </w:r>
    </w:p>
    <w:p w14:paraId="291E738B"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Show the MDM review queue and at least one documented review decision.</w:t>
      </w:r>
    </w:p>
    <w:p w14:paraId="10435678"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w:t>
      </w:r>
      <w:proofErr w:type="gramStart"/>
      <w:r w:rsidRPr="009A4008">
        <w:rPr>
          <w:rFonts w:cs="Times New Roman"/>
        </w:rPr>
        <w:t>Populate</w:t>
      </w:r>
      <w:proofErr w:type="gramEnd"/>
      <w:r w:rsidRPr="009A4008">
        <w:rPr>
          <w:rFonts w:cs="Times New Roman"/>
        </w:rPr>
        <w:t xml:space="preserve"> the warehouse and reconcile fact counts and billing totals against the source.</w:t>
      </w:r>
    </w:p>
    <w:p w14:paraId="0258EB3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Export the data dictionary, glossary and lineage register.</w:t>
      </w:r>
    </w:p>
    <w:p w14:paraId="2843C072"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Test reception masking, clinician access, analyst restrictions and auditor permissions.</w:t>
      </w:r>
    </w:p>
    <w:p w14:paraId="4A3AA2BE"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Test the billing update rejection and confirm an audit record is created for a master change.</w:t>
      </w:r>
    </w:p>
    <w:p w14:paraId="46822EE3"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w:t>
      </w:r>
      <w:proofErr w:type="gramStart"/>
      <w:r w:rsidRPr="009A4008">
        <w:rPr>
          <w:rFonts w:cs="Times New Roman"/>
        </w:rPr>
        <w:t>Complete</w:t>
      </w:r>
      <w:proofErr w:type="gramEnd"/>
      <w:r w:rsidRPr="009A4008">
        <w:rPr>
          <w:rFonts w:cs="Times New Roman"/>
        </w:rPr>
        <w:t xml:space="preserve"> the SMS reminder DPIA and breach response procedure.</w:t>
      </w:r>
    </w:p>
    <w:p w14:paraId="0B4D8878" w14:textId="77777777" w:rsidR="009A4008" w:rsidRPr="009A4008" w:rsidRDefault="009A4008" w:rsidP="009A4008">
      <w:pPr>
        <w:pStyle w:val="ListBullet"/>
        <w:spacing w:after="60"/>
        <w:rPr>
          <w:rFonts w:cs="Times New Roman"/>
        </w:rPr>
      </w:pPr>
      <w:r w:rsidRPr="009A4008">
        <w:rPr>
          <w:rFonts w:ascii="Segoe UI Symbol" w:hAnsi="Segoe UI Symbol" w:cs="Segoe UI Symbol"/>
        </w:rPr>
        <w:lastRenderedPageBreak/>
        <w:t>☐</w:t>
      </w:r>
      <w:r w:rsidRPr="009A4008">
        <w:rPr>
          <w:rFonts w:cs="Times New Roman"/>
        </w:rPr>
        <w:t xml:space="preserve"> Correct and test all analytics SQL; insert dashboard charts and the one-page management finding.</w:t>
      </w:r>
    </w:p>
    <w:p w14:paraId="38791A71"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Enable and verify the scheduled data-quality event and the safe lifecycle demonstration.</w:t>
      </w:r>
    </w:p>
    <w:p w14:paraId="18F83965"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Replace all bracketed placeholders and remove statements that are not supported by evidence.</w:t>
      </w:r>
    </w:p>
    <w:p w14:paraId="05BE9117" w14:textId="77777777" w:rsidR="009A4008" w:rsidRPr="009A4008" w:rsidRDefault="009A4008" w:rsidP="009A4008">
      <w:pPr>
        <w:pStyle w:val="ListBullet"/>
        <w:spacing w:after="60"/>
        <w:rPr>
          <w:rFonts w:cs="Times New Roman"/>
        </w:rPr>
      </w:pPr>
      <w:r w:rsidRPr="009A4008">
        <w:rPr>
          <w:rFonts w:ascii="Segoe UI Symbol" w:hAnsi="Segoe UI Symbol" w:cs="Segoe UI Symbol"/>
        </w:rPr>
        <w:t>☐</w:t>
      </w:r>
      <w:r w:rsidRPr="009A4008">
        <w:rPr>
          <w:rFonts w:cs="Times New Roman"/>
        </w:rPr>
        <w:t xml:space="preserve"> Confirm the final strategy matches the actual schema, screenshots, query outputs and dashboard.</w:t>
      </w:r>
    </w:p>
    <w:p w14:paraId="7AD0D813"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Appendix C. Individual Reflection and Contribution Log</w:t>
      </w:r>
    </w:p>
    <w:p w14:paraId="38FE3E00"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Each group member should complete a separate reflection and contribution record. The final submission should not invent contributions on behalf of a member. The following editable table can be duplicated for each person.</w:t>
      </w:r>
    </w:p>
    <w:tbl>
      <w:tblPr>
        <w:tblStyle w:val="TableGrid"/>
        <w:tblW w:w="0" w:type="auto"/>
        <w:jc w:val="center"/>
        <w:tblLook w:val="04A0" w:firstRow="1" w:lastRow="0" w:firstColumn="1" w:lastColumn="0" w:noHBand="0" w:noVBand="1"/>
      </w:tblPr>
      <w:tblGrid>
        <w:gridCol w:w="4819"/>
        <w:gridCol w:w="4819"/>
      </w:tblGrid>
      <w:tr w:rsidR="009A4008" w:rsidRPr="009A4008" w14:paraId="76BF056B" w14:textId="77777777" w:rsidTr="00B6247C">
        <w:trPr>
          <w:cantSplit/>
          <w:jc w:val="center"/>
        </w:trPr>
        <w:tc>
          <w:tcPr>
            <w:tcW w:w="4824" w:type="dxa"/>
            <w:shd w:val="clear" w:color="auto" w:fill="EDEDED"/>
            <w:vAlign w:val="center"/>
          </w:tcPr>
          <w:p w14:paraId="0C9D4B7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Field</w:t>
            </w:r>
          </w:p>
        </w:tc>
        <w:tc>
          <w:tcPr>
            <w:tcW w:w="4824" w:type="dxa"/>
            <w:shd w:val="clear" w:color="auto" w:fill="EDEDED"/>
            <w:vAlign w:val="center"/>
          </w:tcPr>
          <w:p w14:paraId="0964AFF5"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b/>
                <w:sz w:val="22"/>
                <w:szCs w:val="22"/>
              </w:rPr>
              <w:t>Member response</w:t>
            </w:r>
          </w:p>
        </w:tc>
      </w:tr>
      <w:tr w:rsidR="009A4008" w:rsidRPr="009A4008" w14:paraId="6BEA7C7E" w14:textId="77777777" w:rsidTr="00B6247C">
        <w:trPr>
          <w:cantSplit/>
          <w:jc w:val="center"/>
        </w:trPr>
        <w:tc>
          <w:tcPr>
            <w:tcW w:w="4824" w:type="dxa"/>
            <w:vAlign w:val="center"/>
          </w:tcPr>
          <w:p w14:paraId="193FDBA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Name and registration number</w:t>
            </w:r>
          </w:p>
        </w:tc>
        <w:tc>
          <w:tcPr>
            <w:tcW w:w="4824" w:type="dxa"/>
            <w:vAlign w:val="center"/>
          </w:tcPr>
          <w:p w14:paraId="41DA39DC"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[Complete]</w:t>
            </w:r>
          </w:p>
        </w:tc>
      </w:tr>
      <w:tr w:rsidR="009A4008" w:rsidRPr="009A4008" w14:paraId="1DEF2981" w14:textId="77777777" w:rsidTr="00B6247C">
        <w:trPr>
          <w:cantSplit/>
          <w:jc w:val="center"/>
        </w:trPr>
        <w:tc>
          <w:tcPr>
            <w:tcW w:w="4824" w:type="dxa"/>
            <w:vAlign w:val="center"/>
          </w:tcPr>
          <w:p w14:paraId="1DB6EA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Assigned role</w:t>
            </w:r>
          </w:p>
        </w:tc>
        <w:tc>
          <w:tcPr>
            <w:tcW w:w="4824" w:type="dxa"/>
            <w:vAlign w:val="center"/>
          </w:tcPr>
          <w:p w14:paraId="0D44A80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[Data Steward / Custodian / Analyst / Documenter or agreed role]</w:t>
            </w:r>
          </w:p>
        </w:tc>
      </w:tr>
      <w:tr w:rsidR="009A4008" w:rsidRPr="009A4008" w14:paraId="530DA3A5" w14:textId="77777777" w:rsidTr="00B6247C">
        <w:trPr>
          <w:cantSplit/>
          <w:jc w:val="center"/>
        </w:trPr>
        <w:tc>
          <w:tcPr>
            <w:tcW w:w="4824" w:type="dxa"/>
            <w:vAlign w:val="center"/>
          </w:tcPr>
          <w:p w14:paraId="7B17F13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Deliverables completed</w:t>
            </w:r>
          </w:p>
        </w:tc>
        <w:tc>
          <w:tcPr>
            <w:tcW w:w="4824" w:type="dxa"/>
            <w:vAlign w:val="center"/>
          </w:tcPr>
          <w:p w14:paraId="608E6D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[List specific files, SQL objects, diagrams, tests or dashboard work]</w:t>
            </w:r>
          </w:p>
        </w:tc>
      </w:tr>
      <w:tr w:rsidR="009A4008" w:rsidRPr="009A4008" w14:paraId="084ECA17" w14:textId="77777777" w:rsidTr="00B6247C">
        <w:trPr>
          <w:cantSplit/>
          <w:jc w:val="center"/>
        </w:trPr>
        <w:tc>
          <w:tcPr>
            <w:tcW w:w="4824" w:type="dxa"/>
            <w:vAlign w:val="center"/>
          </w:tcPr>
          <w:p w14:paraId="4D4BE096"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Evidence of contribution</w:t>
            </w:r>
          </w:p>
        </w:tc>
        <w:tc>
          <w:tcPr>
            <w:tcW w:w="4824" w:type="dxa"/>
            <w:vAlign w:val="center"/>
          </w:tcPr>
          <w:p w14:paraId="72F3A6B1"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[Repository commits, file history, screenshots, meeting records or reviewed outputs]</w:t>
            </w:r>
          </w:p>
        </w:tc>
      </w:tr>
      <w:tr w:rsidR="009A4008" w:rsidRPr="009A4008" w14:paraId="7D9F9DEF" w14:textId="77777777" w:rsidTr="00B6247C">
        <w:trPr>
          <w:cantSplit/>
          <w:jc w:val="center"/>
        </w:trPr>
        <w:tc>
          <w:tcPr>
            <w:tcW w:w="4824" w:type="dxa"/>
            <w:vAlign w:val="center"/>
          </w:tcPr>
          <w:p w14:paraId="51AB9C8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Main technical or governance challenge</w:t>
            </w:r>
          </w:p>
        </w:tc>
        <w:tc>
          <w:tcPr>
            <w:tcW w:w="4824" w:type="dxa"/>
            <w:vAlign w:val="center"/>
          </w:tcPr>
          <w:p w14:paraId="3FA0245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[Describe a real challenge encountered]</w:t>
            </w:r>
          </w:p>
        </w:tc>
      </w:tr>
      <w:tr w:rsidR="009A4008" w:rsidRPr="009A4008" w14:paraId="66EF4372" w14:textId="77777777" w:rsidTr="00B6247C">
        <w:trPr>
          <w:cantSplit/>
          <w:jc w:val="center"/>
        </w:trPr>
        <w:tc>
          <w:tcPr>
            <w:tcW w:w="4824" w:type="dxa"/>
            <w:vAlign w:val="center"/>
          </w:tcPr>
          <w:p w14:paraId="6F7AC2B9"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How the challenge was addressed</w:t>
            </w:r>
          </w:p>
        </w:tc>
        <w:tc>
          <w:tcPr>
            <w:tcW w:w="4824" w:type="dxa"/>
            <w:vAlign w:val="center"/>
          </w:tcPr>
          <w:p w14:paraId="538D186F"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[Explain the actual action taken]</w:t>
            </w:r>
          </w:p>
        </w:tc>
      </w:tr>
      <w:tr w:rsidR="009A4008" w:rsidRPr="009A4008" w14:paraId="5107F9C9" w14:textId="77777777" w:rsidTr="00B6247C">
        <w:trPr>
          <w:cantSplit/>
          <w:jc w:val="center"/>
        </w:trPr>
        <w:tc>
          <w:tcPr>
            <w:tcW w:w="4824" w:type="dxa"/>
            <w:vAlign w:val="center"/>
          </w:tcPr>
          <w:p w14:paraId="03FB668D"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What was learned</w:t>
            </w:r>
          </w:p>
        </w:tc>
        <w:tc>
          <w:tcPr>
            <w:tcW w:w="4824" w:type="dxa"/>
            <w:vAlign w:val="center"/>
          </w:tcPr>
          <w:p w14:paraId="5E99E58B"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[Reflect on a specific EDM concept or practical skill]</w:t>
            </w:r>
          </w:p>
        </w:tc>
      </w:tr>
      <w:tr w:rsidR="009A4008" w:rsidRPr="009A4008" w14:paraId="39EC5FDB" w14:textId="77777777" w:rsidTr="00B6247C">
        <w:trPr>
          <w:cantSplit/>
          <w:jc w:val="center"/>
        </w:trPr>
        <w:tc>
          <w:tcPr>
            <w:tcW w:w="4824" w:type="dxa"/>
            <w:vAlign w:val="center"/>
          </w:tcPr>
          <w:p w14:paraId="3A066A43"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Remaining limitations</w:t>
            </w:r>
          </w:p>
        </w:tc>
        <w:tc>
          <w:tcPr>
            <w:tcW w:w="4824" w:type="dxa"/>
            <w:vAlign w:val="center"/>
          </w:tcPr>
          <w:p w14:paraId="232768CE" w14:textId="77777777" w:rsidR="009A4008" w:rsidRPr="009A4008" w:rsidRDefault="009A4008" w:rsidP="00B6247C">
            <w:pPr>
              <w:spacing w:before="40" w:after="40"/>
              <w:rPr>
                <w:rFonts w:ascii="Times New Roman" w:hAnsi="Times New Roman" w:cs="Times New Roman"/>
                <w:sz w:val="22"/>
                <w:szCs w:val="22"/>
              </w:rPr>
            </w:pPr>
            <w:r w:rsidRPr="009A4008">
              <w:rPr>
                <w:rFonts w:ascii="Times New Roman" w:hAnsi="Times New Roman" w:cs="Times New Roman"/>
                <w:sz w:val="22"/>
                <w:szCs w:val="22"/>
              </w:rPr>
              <w:t>[State incomplete work or known limitations honestly]</w:t>
            </w:r>
          </w:p>
        </w:tc>
      </w:tr>
    </w:tbl>
    <w:p w14:paraId="3C26372A" w14:textId="77777777" w:rsidR="009A4008" w:rsidRPr="009A4008" w:rsidRDefault="009A4008" w:rsidP="009A4008">
      <w:pPr>
        <w:rPr>
          <w:rFonts w:ascii="Times New Roman" w:hAnsi="Times New Roman" w:cs="Times New Roman"/>
          <w:sz w:val="22"/>
          <w:szCs w:val="22"/>
        </w:rPr>
      </w:pPr>
    </w:p>
    <w:p w14:paraId="211F2199" w14:textId="77777777" w:rsidR="009A4008" w:rsidRPr="009A4008" w:rsidRDefault="009A4008" w:rsidP="009A4008">
      <w:pPr>
        <w:pStyle w:val="Heading1"/>
        <w:rPr>
          <w:rFonts w:ascii="Times New Roman" w:hAnsi="Times New Roman" w:cs="Times New Roman"/>
          <w:sz w:val="22"/>
          <w:szCs w:val="22"/>
        </w:rPr>
      </w:pPr>
      <w:r w:rsidRPr="009A4008">
        <w:rPr>
          <w:rFonts w:ascii="Times New Roman" w:hAnsi="Times New Roman" w:cs="Times New Roman"/>
          <w:sz w:val="22"/>
          <w:szCs w:val="22"/>
        </w:rPr>
        <w:t>Reference</w:t>
      </w:r>
    </w:p>
    <w:p w14:paraId="4258AE2B" w14:textId="77777777" w:rsidR="009A4008" w:rsidRPr="009A4008" w:rsidRDefault="009A4008" w:rsidP="009A4008">
      <w:pPr>
        <w:rPr>
          <w:rFonts w:ascii="Times New Roman" w:hAnsi="Times New Roman" w:cs="Times New Roman"/>
          <w:sz w:val="22"/>
          <w:szCs w:val="22"/>
        </w:rPr>
      </w:pPr>
      <w:r w:rsidRPr="009A4008">
        <w:rPr>
          <w:rFonts w:ascii="Times New Roman" w:hAnsi="Times New Roman" w:cs="Times New Roman"/>
          <w:sz w:val="22"/>
          <w:szCs w:val="22"/>
        </w:rPr>
        <w:t>MediLink Health Network Enterprise Data Platform. Enterprise Data Management capstone project brief supplied for the course. 28 pages. [Add lecturer, institution, year or formal citation details if provided on the original brief.]</w:t>
      </w:r>
    </w:p>
    <w:p w14:paraId="57E9A88F" w14:textId="77777777" w:rsidR="00674DAA" w:rsidRPr="009A4008" w:rsidRDefault="00674DAA" w:rsidP="009A4008">
      <w:pPr>
        <w:rPr>
          <w:rFonts w:ascii="Times New Roman" w:hAnsi="Times New Roman" w:cs="Times New Roman"/>
          <w:sz w:val="22"/>
          <w:szCs w:val="22"/>
        </w:rPr>
      </w:pPr>
    </w:p>
    <w:sectPr w:rsidR="00674DAA" w:rsidRPr="009A4008" w:rsidSect="00034616">
      <w:footerReference w:type="default" r:id="rId8"/>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B6D2F7" w14:textId="77777777" w:rsidR="002C21D3" w:rsidRDefault="002C21D3">
      <w:r>
        <w:separator/>
      </w:r>
    </w:p>
  </w:endnote>
  <w:endnote w:type="continuationSeparator" w:id="0">
    <w:p w14:paraId="45382B7A" w14:textId="77777777" w:rsidR="002C21D3" w:rsidRDefault="002C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D8657E" w14:textId="77777777" w:rsidR="00083545" w:rsidRDefault="009A4008">
    <w:pPr>
      <w:pStyle w:val="Footer"/>
      <w:jc w:val="center"/>
    </w:pPr>
    <w:r>
      <w:fldChar w:fldCharType="begin"/>
    </w:r>
    <w:r>
      <w:instrText xml:space="preserve"> PAGE </w:instrText>
    </w:r>
    <w:r>
      <w:fldChar w:fldCharType="separate"/>
    </w:r>
    <w:r w:rsidR="00B27F99">
      <w:rPr>
        <w:noProof/>
      </w:rPr>
      <w:t>19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37D0D3" w14:textId="77777777" w:rsidR="002C21D3" w:rsidRDefault="002C21D3">
      <w:r>
        <w:separator/>
      </w:r>
    </w:p>
  </w:footnote>
  <w:footnote w:type="continuationSeparator" w:id="0">
    <w:p w14:paraId="76D7F4A5" w14:textId="77777777" w:rsidR="002C21D3" w:rsidRDefault="002C21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FD4AC6F4"/>
    <w:lvl w:ilvl="0">
      <w:start w:val="1"/>
      <w:numFmt w:val="decimal"/>
      <w:pStyle w:val="ListNumber"/>
      <w:lvlText w:val="%1."/>
      <w:lvlJc w:val="left"/>
      <w:pPr>
        <w:tabs>
          <w:tab w:val="num" w:pos="360"/>
        </w:tabs>
        <w:ind w:left="360" w:hanging="360"/>
      </w:pPr>
    </w:lvl>
  </w:abstractNum>
  <w:abstractNum w:abstractNumId="8">
    <w:nsid w:val="FFFFFF89"/>
    <w:multiLevelType w:val="singleLevel"/>
    <w:tmpl w:val="F7725E16"/>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E59"/>
    <w:rsid w:val="00130716"/>
    <w:rsid w:val="002C21D3"/>
    <w:rsid w:val="00674DAA"/>
    <w:rsid w:val="009A4008"/>
    <w:rsid w:val="00B27F99"/>
    <w:rsid w:val="00F36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120A"/>
  <w15:chartTrackingRefBased/>
  <w15:docId w15:val="{D5E29145-7A78-42CF-A4D0-197EA061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716"/>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9A4008"/>
    <w:pPr>
      <w:keepNext/>
      <w:keepLines/>
      <w:spacing w:before="480" w:line="276" w:lineRule="auto"/>
      <w:outlineLvl w:val="0"/>
    </w:pPr>
    <w:rPr>
      <w:rFonts w:asciiTheme="majorHAnsi" w:eastAsiaTheme="majorEastAsia" w:hAnsiTheme="majorHAnsi" w:cstheme="majorBidi"/>
      <w:b/>
      <w:bCs/>
      <w:sz w:val="28"/>
      <w:szCs w:val="28"/>
      <w:lang w:eastAsia="en-US"/>
    </w:rPr>
  </w:style>
  <w:style w:type="paragraph" w:styleId="Heading2">
    <w:name w:val="heading 2"/>
    <w:basedOn w:val="Normal"/>
    <w:next w:val="Normal"/>
    <w:link w:val="Heading2Char"/>
    <w:uiPriority w:val="9"/>
    <w:unhideWhenUsed/>
    <w:qFormat/>
    <w:rsid w:val="009A4008"/>
    <w:pPr>
      <w:keepNext/>
      <w:keepLines/>
      <w:spacing w:before="200" w:line="276" w:lineRule="auto"/>
      <w:outlineLvl w:val="1"/>
    </w:pPr>
    <w:rPr>
      <w:rFonts w:asciiTheme="majorHAnsi" w:eastAsiaTheme="majorEastAsia" w:hAnsiTheme="majorHAnsi" w:cstheme="majorBidi"/>
      <w:b/>
      <w:bCs/>
      <w:sz w:val="24"/>
      <w:szCs w:val="26"/>
      <w:lang w:eastAsia="en-US"/>
    </w:rPr>
  </w:style>
  <w:style w:type="paragraph" w:styleId="Heading3">
    <w:name w:val="heading 3"/>
    <w:basedOn w:val="Normal"/>
    <w:next w:val="Normal"/>
    <w:link w:val="Heading3Char"/>
    <w:uiPriority w:val="9"/>
    <w:unhideWhenUsed/>
    <w:qFormat/>
    <w:rsid w:val="009A4008"/>
    <w:pPr>
      <w:keepNext/>
      <w:keepLines/>
      <w:spacing w:before="200" w:line="276" w:lineRule="auto"/>
      <w:outlineLvl w:val="2"/>
    </w:pPr>
    <w:rPr>
      <w:rFonts w:asciiTheme="majorHAnsi" w:eastAsiaTheme="majorEastAsia" w:hAnsiTheme="majorHAnsi" w:cstheme="majorBidi"/>
      <w:b/>
      <w:bCs/>
      <w:sz w:val="22"/>
      <w:szCs w:val="22"/>
      <w:lang w:eastAsia="en-US"/>
    </w:rPr>
  </w:style>
  <w:style w:type="paragraph" w:styleId="Heading4">
    <w:name w:val="heading 4"/>
    <w:basedOn w:val="Normal"/>
    <w:next w:val="Normal"/>
    <w:link w:val="Heading4Char"/>
    <w:uiPriority w:val="9"/>
    <w:semiHidden/>
    <w:unhideWhenUsed/>
    <w:qFormat/>
    <w:rsid w:val="009A4008"/>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eastAsia="en-US"/>
    </w:rPr>
  </w:style>
  <w:style w:type="paragraph" w:styleId="Heading5">
    <w:name w:val="heading 5"/>
    <w:basedOn w:val="Normal"/>
    <w:next w:val="Normal"/>
    <w:link w:val="Heading5Char"/>
    <w:uiPriority w:val="9"/>
    <w:semiHidden/>
    <w:unhideWhenUsed/>
    <w:qFormat/>
    <w:rsid w:val="009A4008"/>
    <w:pPr>
      <w:keepNext/>
      <w:keepLines/>
      <w:spacing w:before="200" w:line="276" w:lineRule="auto"/>
      <w:outlineLvl w:val="4"/>
    </w:pPr>
    <w:rPr>
      <w:rFonts w:asciiTheme="majorHAnsi" w:eastAsiaTheme="majorEastAsia" w:hAnsiTheme="majorHAnsi" w:cstheme="majorBidi"/>
      <w:color w:val="1F3763" w:themeColor="accent1" w:themeShade="7F"/>
      <w:sz w:val="22"/>
      <w:szCs w:val="22"/>
      <w:lang w:eastAsia="en-US"/>
    </w:rPr>
  </w:style>
  <w:style w:type="paragraph" w:styleId="Heading6">
    <w:name w:val="heading 6"/>
    <w:basedOn w:val="Normal"/>
    <w:next w:val="Normal"/>
    <w:link w:val="Heading6Char"/>
    <w:uiPriority w:val="9"/>
    <w:semiHidden/>
    <w:unhideWhenUsed/>
    <w:qFormat/>
    <w:rsid w:val="009A4008"/>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lang w:eastAsia="en-US"/>
    </w:rPr>
  </w:style>
  <w:style w:type="paragraph" w:styleId="Heading7">
    <w:name w:val="heading 7"/>
    <w:basedOn w:val="Normal"/>
    <w:next w:val="Normal"/>
    <w:link w:val="Heading7Char"/>
    <w:uiPriority w:val="9"/>
    <w:semiHidden/>
    <w:unhideWhenUsed/>
    <w:qFormat/>
    <w:rsid w:val="009A4008"/>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eastAsia="en-US"/>
    </w:rPr>
  </w:style>
  <w:style w:type="paragraph" w:styleId="Heading8">
    <w:name w:val="heading 8"/>
    <w:basedOn w:val="Normal"/>
    <w:next w:val="Normal"/>
    <w:link w:val="Heading8Char"/>
    <w:uiPriority w:val="9"/>
    <w:semiHidden/>
    <w:unhideWhenUsed/>
    <w:qFormat/>
    <w:rsid w:val="009A4008"/>
    <w:pPr>
      <w:keepNext/>
      <w:keepLines/>
      <w:spacing w:before="200" w:line="276" w:lineRule="auto"/>
      <w:outlineLvl w:val="7"/>
    </w:pPr>
    <w:rPr>
      <w:rFonts w:asciiTheme="majorHAnsi" w:eastAsiaTheme="majorEastAsia" w:hAnsiTheme="majorHAnsi" w:cstheme="majorBidi"/>
      <w:color w:val="4472C4" w:themeColor="accent1"/>
      <w:lang w:eastAsia="en-US"/>
    </w:rPr>
  </w:style>
  <w:style w:type="paragraph" w:styleId="Heading9">
    <w:name w:val="heading 9"/>
    <w:basedOn w:val="Normal"/>
    <w:next w:val="Normal"/>
    <w:link w:val="Heading9Char"/>
    <w:uiPriority w:val="9"/>
    <w:semiHidden/>
    <w:unhideWhenUsed/>
    <w:qFormat/>
    <w:rsid w:val="009A4008"/>
    <w:pPr>
      <w:keepNext/>
      <w:keepLines/>
      <w:spacing w:before="200" w:line="276" w:lineRule="auto"/>
      <w:outlineLvl w:val="8"/>
    </w:pPr>
    <w:rPr>
      <w:rFonts w:asciiTheme="majorHAnsi" w:eastAsiaTheme="majorEastAsia" w:hAnsiTheme="majorHAnsi" w:cstheme="majorBidi"/>
      <w:i/>
      <w:iCs/>
      <w:color w:val="404040" w:themeColor="text1" w:themeTint="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30716"/>
    <w:rPr>
      <w:i/>
      <w:iCs/>
    </w:rPr>
  </w:style>
  <w:style w:type="character" w:customStyle="1" w:styleId="Heading1Char">
    <w:name w:val="Heading 1 Char"/>
    <w:basedOn w:val="DefaultParagraphFont"/>
    <w:link w:val="Heading1"/>
    <w:uiPriority w:val="9"/>
    <w:rsid w:val="009A4008"/>
    <w:rPr>
      <w:rFonts w:asciiTheme="majorHAnsi" w:eastAsiaTheme="majorEastAsia" w:hAnsiTheme="majorHAnsi" w:cstheme="majorBidi"/>
      <w:b/>
      <w:bCs/>
      <w:sz w:val="28"/>
      <w:szCs w:val="28"/>
      <w:lang w:val="en-US"/>
    </w:rPr>
  </w:style>
  <w:style w:type="character" w:customStyle="1" w:styleId="Heading2Char">
    <w:name w:val="Heading 2 Char"/>
    <w:basedOn w:val="DefaultParagraphFont"/>
    <w:link w:val="Heading2"/>
    <w:uiPriority w:val="9"/>
    <w:rsid w:val="009A4008"/>
    <w:rPr>
      <w:rFonts w:asciiTheme="majorHAnsi" w:eastAsiaTheme="majorEastAsia" w:hAnsiTheme="majorHAnsi" w:cstheme="majorBidi"/>
      <w:b/>
      <w:bCs/>
      <w:sz w:val="24"/>
      <w:szCs w:val="26"/>
      <w:lang w:val="en-US"/>
    </w:rPr>
  </w:style>
  <w:style w:type="character" w:customStyle="1" w:styleId="Heading3Char">
    <w:name w:val="Heading 3 Char"/>
    <w:basedOn w:val="DefaultParagraphFont"/>
    <w:link w:val="Heading3"/>
    <w:uiPriority w:val="9"/>
    <w:rsid w:val="009A4008"/>
    <w:rPr>
      <w:rFonts w:asciiTheme="majorHAnsi" w:eastAsiaTheme="majorEastAsia" w:hAnsiTheme="majorHAnsi" w:cstheme="majorBidi"/>
      <w:b/>
      <w:bCs/>
      <w:lang w:val="en-US"/>
    </w:rPr>
  </w:style>
  <w:style w:type="character" w:customStyle="1" w:styleId="Heading4Char">
    <w:name w:val="Heading 4 Char"/>
    <w:basedOn w:val="DefaultParagraphFont"/>
    <w:link w:val="Heading4"/>
    <w:uiPriority w:val="9"/>
    <w:semiHidden/>
    <w:rsid w:val="009A4008"/>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semiHidden/>
    <w:rsid w:val="009A4008"/>
    <w:rPr>
      <w:rFonts w:asciiTheme="majorHAnsi" w:eastAsiaTheme="majorEastAsia" w:hAnsiTheme="majorHAnsi" w:cstheme="majorBidi"/>
      <w:color w:val="1F3763" w:themeColor="accent1" w:themeShade="7F"/>
      <w:lang w:val="en-US"/>
    </w:rPr>
  </w:style>
  <w:style w:type="character" w:customStyle="1" w:styleId="Heading6Char">
    <w:name w:val="Heading 6 Char"/>
    <w:basedOn w:val="DefaultParagraphFont"/>
    <w:link w:val="Heading6"/>
    <w:uiPriority w:val="9"/>
    <w:semiHidden/>
    <w:rsid w:val="009A4008"/>
    <w:rPr>
      <w:rFonts w:asciiTheme="majorHAnsi" w:eastAsiaTheme="majorEastAsia" w:hAnsiTheme="majorHAnsi" w:cstheme="majorBidi"/>
      <w:i/>
      <w:iCs/>
      <w:color w:val="1F3763" w:themeColor="accent1" w:themeShade="7F"/>
      <w:lang w:val="en-US"/>
    </w:rPr>
  </w:style>
  <w:style w:type="character" w:customStyle="1" w:styleId="Heading7Char">
    <w:name w:val="Heading 7 Char"/>
    <w:basedOn w:val="DefaultParagraphFont"/>
    <w:link w:val="Heading7"/>
    <w:uiPriority w:val="9"/>
    <w:semiHidden/>
    <w:rsid w:val="009A4008"/>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9A4008"/>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9A4008"/>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9A4008"/>
    <w:pPr>
      <w:tabs>
        <w:tab w:val="center" w:pos="4680"/>
        <w:tab w:val="right" w:pos="9360"/>
      </w:tabs>
    </w:pPr>
    <w:rPr>
      <w:rFonts w:ascii="Times New Roman" w:eastAsia="Times New Roman" w:hAnsi="Times New Roman"/>
      <w:sz w:val="22"/>
      <w:szCs w:val="22"/>
      <w:lang w:eastAsia="en-US"/>
    </w:rPr>
  </w:style>
  <w:style w:type="character" w:customStyle="1" w:styleId="HeaderChar">
    <w:name w:val="Header Char"/>
    <w:basedOn w:val="DefaultParagraphFont"/>
    <w:link w:val="Header"/>
    <w:uiPriority w:val="99"/>
    <w:rsid w:val="009A4008"/>
    <w:rPr>
      <w:rFonts w:ascii="Times New Roman" w:eastAsia="Times New Roman" w:hAnsi="Times New Roman"/>
      <w:lang w:val="en-US"/>
    </w:rPr>
  </w:style>
  <w:style w:type="paragraph" w:styleId="Footer">
    <w:name w:val="footer"/>
    <w:basedOn w:val="Normal"/>
    <w:link w:val="FooterChar"/>
    <w:uiPriority w:val="99"/>
    <w:unhideWhenUsed/>
    <w:rsid w:val="009A4008"/>
    <w:pPr>
      <w:tabs>
        <w:tab w:val="center" w:pos="4680"/>
        <w:tab w:val="right" w:pos="9360"/>
      </w:tabs>
    </w:pPr>
    <w:rPr>
      <w:rFonts w:ascii="Times New Roman" w:eastAsia="Times New Roman" w:hAnsi="Times New Roman"/>
      <w:sz w:val="22"/>
      <w:szCs w:val="22"/>
      <w:lang w:eastAsia="en-US"/>
    </w:rPr>
  </w:style>
  <w:style w:type="character" w:customStyle="1" w:styleId="FooterChar">
    <w:name w:val="Footer Char"/>
    <w:basedOn w:val="DefaultParagraphFont"/>
    <w:link w:val="Footer"/>
    <w:uiPriority w:val="99"/>
    <w:rsid w:val="009A4008"/>
    <w:rPr>
      <w:rFonts w:ascii="Times New Roman" w:eastAsia="Times New Roman" w:hAnsi="Times New Roman"/>
      <w:lang w:val="en-US"/>
    </w:rPr>
  </w:style>
  <w:style w:type="paragraph" w:styleId="NoSpacing">
    <w:name w:val="No Spacing"/>
    <w:uiPriority w:val="1"/>
    <w:qFormat/>
    <w:rsid w:val="009A4008"/>
    <w:pPr>
      <w:spacing w:after="0" w:line="240" w:lineRule="auto"/>
    </w:pPr>
    <w:rPr>
      <w:rFonts w:eastAsiaTheme="minorEastAsia"/>
    </w:rPr>
  </w:style>
  <w:style w:type="paragraph" w:styleId="Title">
    <w:name w:val="Title"/>
    <w:basedOn w:val="Normal"/>
    <w:next w:val="Normal"/>
    <w:link w:val="TitleChar"/>
    <w:uiPriority w:val="10"/>
    <w:qFormat/>
    <w:rsid w:val="009A4008"/>
    <w:pPr>
      <w:pBdr>
        <w:bottom w:val="single" w:sz="8" w:space="4" w:color="4472C4" w:themeColor="accent1"/>
      </w:pBdr>
      <w:spacing w:after="300"/>
      <w:contextualSpacing/>
    </w:pPr>
    <w:rPr>
      <w:rFonts w:asciiTheme="majorHAnsi" w:eastAsiaTheme="majorEastAsia" w:hAnsiTheme="majorHAnsi" w:cstheme="majorBidi"/>
      <w:b/>
      <w:spacing w:val="5"/>
      <w:kern w:val="28"/>
      <w:sz w:val="36"/>
      <w:szCs w:val="52"/>
      <w:lang w:eastAsia="en-US"/>
    </w:rPr>
  </w:style>
  <w:style w:type="character" w:customStyle="1" w:styleId="TitleChar">
    <w:name w:val="Title Char"/>
    <w:basedOn w:val="DefaultParagraphFont"/>
    <w:link w:val="Title"/>
    <w:uiPriority w:val="10"/>
    <w:rsid w:val="009A4008"/>
    <w:rPr>
      <w:rFonts w:asciiTheme="majorHAnsi" w:eastAsiaTheme="majorEastAsia" w:hAnsiTheme="majorHAnsi" w:cstheme="majorBidi"/>
      <w:b/>
      <w:spacing w:val="5"/>
      <w:kern w:val="28"/>
      <w:sz w:val="36"/>
      <w:szCs w:val="52"/>
      <w:lang w:val="en-US"/>
    </w:rPr>
  </w:style>
  <w:style w:type="paragraph" w:styleId="Subtitle">
    <w:name w:val="Subtitle"/>
    <w:basedOn w:val="Normal"/>
    <w:next w:val="Normal"/>
    <w:link w:val="SubtitleChar"/>
    <w:uiPriority w:val="11"/>
    <w:qFormat/>
    <w:rsid w:val="009A4008"/>
    <w:pPr>
      <w:numPr>
        <w:ilvl w:val="1"/>
      </w:numPr>
      <w:spacing w:after="120" w:line="276" w:lineRule="auto"/>
    </w:pPr>
    <w:rPr>
      <w:rFonts w:asciiTheme="majorHAnsi" w:eastAsiaTheme="majorEastAsia" w:hAnsiTheme="majorHAnsi" w:cstheme="majorBidi"/>
      <w:i/>
      <w:iCs/>
      <w:color w:val="4472C4" w:themeColor="accent1"/>
      <w:spacing w:val="15"/>
      <w:sz w:val="24"/>
      <w:szCs w:val="24"/>
      <w:lang w:eastAsia="en-US"/>
    </w:rPr>
  </w:style>
  <w:style w:type="character" w:customStyle="1" w:styleId="SubtitleChar">
    <w:name w:val="Subtitle Char"/>
    <w:basedOn w:val="DefaultParagraphFont"/>
    <w:link w:val="Subtitle"/>
    <w:uiPriority w:val="11"/>
    <w:rsid w:val="009A4008"/>
    <w:rPr>
      <w:rFonts w:asciiTheme="majorHAnsi" w:eastAsiaTheme="majorEastAsia" w:hAnsiTheme="majorHAnsi" w:cstheme="majorBidi"/>
      <w:i/>
      <w:iCs/>
      <w:color w:val="4472C4" w:themeColor="accent1"/>
      <w:spacing w:val="15"/>
      <w:sz w:val="24"/>
      <w:szCs w:val="24"/>
      <w:lang w:val="en-US"/>
    </w:rPr>
  </w:style>
  <w:style w:type="paragraph" w:styleId="ListParagraph">
    <w:name w:val="List Paragraph"/>
    <w:basedOn w:val="Normal"/>
    <w:uiPriority w:val="34"/>
    <w:qFormat/>
    <w:rsid w:val="009A4008"/>
    <w:pPr>
      <w:spacing w:after="120" w:line="276" w:lineRule="auto"/>
      <w:ind w:left="720"/>
      <w:contextualSpacing/>
    </w:pPr>
    <w:rPr>
      <w:rFonts w:ascii="Times New Roman" w:eastAsia="Times New Roman" w:hAnsi="Times New Roman"/>
      <w:sz w:val="22"/>
      <w:szCs w:val="22"/>
      <w:lang w:eastAsia="en-US"/>
    </w:rPr>
  </w:style>
  <w:style w:type="paragraph" w:styleId="BodyText">
    <w:name w:val="Body Text"/>
    <w:basedOn w:val="Normal"/>
    <w:link w:val="BodyTextChar"/>
    <w:uiPriority w:val="99"/>
    <w:unhideWhenUsed/>
    <w:rsid w:val="009A4008"/>
    <w:pPr>
      <w:spacing w:after="120" w:line="276" w:lineRule="auto"/>
    </w:pPr>
    <w:rPr>
      <w:rFonts w:ascii="Times New Roman" w:eastAsia="Times New Roman" w:hAnsi="Times New Roman"/>
      <w:sz w:val="22"/>
      <w:szCs w:val="22"/>
      <w:lang w:eastAsia="en-US"/>
    </w:rPr>
  </w:style>
  <w:style w:type="character" w:customStyle="1" w:styleId="BodyTextChar">
    <w:name w:val="Body Text Char"/>
    <w:basedOn w:val="DefaultParagraphFont"/>
    <w:link w:val="BodyText"/>
    <w:uiPriority w:val="99"/>
    <w:rsid w:val="009A4008"/>
    <w:rPr>
      <w:rFonts w:ascii="Times New Roman" w:eastAsia="Times New Roman" w:hAnsi="Times New Roman"/>
      <w:lang w:val="en-US"/>
    </w:rPr>
  </w:style>
  <w:style w:type="paragraph" w:styleId="BodyText2">
    <w:name w:val="Body Text 2"/>
    <w:basedOn w:val="Normal"/>
    <w:link w:val="BodyText2Char"/>
    <w:uiPriority w:val="99"/>
    <w:unhideWhenUsed/>
    <w:rsid w:val="009A4008"/>
    <w:pPr>
      <w:spacing w:after="120" w:line="480" w:lineRule="auto"/>
    </w:pPr>
    <w:rPr>
      <w:rFonts w:ascii="Times New Roman" w:eastAsia="Times New Roman" w:hAnsi="Times New Roman"/>
      <w:sz w:val="22"/>
      <w:szCs w:val="22"/>
      <w:lang w:eastAsia="en-US"/>
    </w:rPr>
  </w:style>
  <w:style w:type="character" w:customStyle="1" w:styleId="BodyText2Char">
    <w:name w:val="Body Text 2 Char"/>
    <w:basedOn w:val="DefaultParagraphFont"/>
    <w:link w:val="BodyText2"/>
    <w:uiPriority w:val="99"/>
    <w:rsid w:val="009A4008"/>
    <w:rPr>
      <w:rFonts w:ascii="Times New Roman" w:eastAsia="Times New Roman" w:hAnsi="Times New Roman"/>
      <w:lang w:val="en-US"/>
    </w:rPr>
  </w:style>
  <w:style w:type="paragraph" w:styleId="BodyText3">
    <w:name w:val="Body Text 3"/>
    <w:basedOn w:val="Normal"/>
    <w:link w:val="BodyText3Char"/>
    <w:uiPriority w:val="99"/>
    <w:unhideWhenUsed/>
    <w:rsid w:val="009A4008"/>
    <w:pPr>
      <w:spacing w:after="120" w:line="276" w:lineRule="auto"/>
    </w:pPr>
    <w:rPr>
      <w:rFonts w:ascii="Times New Roman" w:eastAsia="Times New Roman" w:hAnsi="Times New Roman"/>
      <w:sz w:val="16"/>
      <w:szCs w:val="16"/>
      <w:lang w:eastAsia="en-US"/>
    </w:rPr>
  </w:style>
  <w:style w:type="character" w:customStyle="1" w:styleId="BodyText3Char">
    <w:name w:val="Body Text 3 Char"/>
    <w:basedOn w:val="DefaultParagraphFont"/>
    <w:link w:val="BodyText3"/>
    <w:uiPriority w:val="99"/>
    <w:rsid w:val="009A4008"/>
    <w:rPr>
      <w:rFonts w:ascii="Times New Roman" w:eastAsia="Times New Roman" w:hAnsi="Times New Roman"/>
      <w:sz w:val="16"/>
      <w:szCs w:val="16"/>
      <w:lang w:val="en-US"/>
    </w:rPr>
  </w:style>
  <w:style w:type="paragraph" w:styleId="List">
    <w:name w:val="List"/>
    <w:basedOn w:val="Normal"/>
    <w:uiPriority w:val="99"/>
    <w:unhideWhenUsed/>
    <w:rsid w:val="009A4008"/>
    <w:pPr>
      <w:spacing w:after="120" w:line="276" w:lineRule="auto"/>
      <w:ind w:left="360" w:hanging="360"/>
      <w:contextualSpacing/>
    </w:pPr>
    <w:rPr>
      <w:rFonts w:ascii="Times New Roman" w:eastAsia="Times New Roman" w:hAnsi="Times New Roman"/>
      <w:sz w:val="22"/>
      <w:szCs w:val="22"/>
      <w:lang w:eastAsia="en-US"/>
    </w:rPr>
  </w:style>
  <w:style w:type="paragraph" w:styleId="List2">
    <w:name w:val="List 2"/>
    <w:basedOn w:val="Normal"/>
    <w:uiPriority w:val="99"/>
    <w:unhideWhenUsed/>
    <w:rsid w:val="009A4008"/>
    <w:pPr>
      <w:spacing w:after="120" w:line="276" w:lineRule="auto"/>
      <w:ind w:left="720" w:hanging="360"/>
      <w:contextualSpacing/>
    </w:pPr>
    <w:rPr>
      <w:rFonts w:ascii="Times New Roman" w:eastAsia="Times New Roman" w:hAnsi="Times New Roman"/>
      <w:sz w:val="22"/>
      <w:szCs w:val="22"/>
      <w:lang w:eastAsia="en-US"/>
    </w:rPr>
  </w:style>
  <w:style w:type="paragraph" w:styleId="List3">
    <w:name w:val="List 3"/>
    <w:basedOn w:val="Normal"/>
    <w:uiPriority w:val="99"/>
    <w:unhideWhenUsed/>
    <w:rsid w:val="009A4008"/>
    <w:pPr>
      <w:spacing w:after="120" w:line="276" w:lineRule="auto"/>
      <w:ind w:left="1080" w:hanging="360"/>
      <w:contextualSpacing/>
    </w:pPr>
    <w:rPr>
      <w:rFonts w:ascii="Times New Roman" w:eastAsia="Times New Roman" w:hAnsi="Times New Roman"/>
      <w:sz w:val="22"/>
      <w:szCs w:val="22"/>
      <w:lang w:eastAsia="en-US"/>
    </w:rPr>
  </w:style>
  <w:style w:type="paragraph" w:styleId="ListBullet">
    <w:name w:val="List Bullet"/>
    <w:basedOn w:val="Normal"/>
    <w:uiPriority w:val="99"/>
    <w:unhideWhenUsed/>
    <w:rsid w:val="009A4008"/>
    <w:pPr>
      <w:numPr>
        <w:numId w:val="1"/>
      </w:numPr>
      <w:spacing w:after="120" w:line="276" w:lineRule="auto"/>
      <w:contextualSpacing/>
    </w:pPr>
    <w:rPr>
      <w:rFonts w:ascii="Times New Roman" w:eastAsia="Times New Roman" w:hAnsi="Times New Roman"/>
      <w:sz w:val="22"/>
      <w:szCs w:val="22"/>
      <w:lang w:eastAsia="en-US"/>
    </w:rPr>
  </w:style>
  <w:style w:type="paragraph" w:styleId="ListBullet2">
    <w:name w:val="List Bullet 2"/>
    <w:basedOn w:val="Normal"/>
    <w:uiPriority w:val="99"/>
    <w:unhideWhenUsed/>
    <w:rsid w:val="009A4008"/>
    <w:pPr>
      <w:numPr>
        <w:numId w:val="2"/>
      </w:numPr>
      <w:spacing w:after="120" w:line="276" w:lineRule="auto"/>
      <w:contextualSpacing/>
    </w:pPr>
    <w:rPr>
      <w:rFonts w:ascii="Times New Roman" w:eastAsia="Times New Roman" w:hAnsi="Times New Roman"/>
      <w:sz w:val="22"/>
      <w:szCs w:val="22"/>
      <w:lang w:eastAsia="en-US"/>
    </w:rPr>
  </w:style>
  <w:style w:type="paragraph" w:styleId="ListBullet3">
    <w:name w:val="List Bullet 3"/>
    <w:basedOn w:val="Normal"/>
    <w:uiPriority w:val="99"/>
    <w:unhideWhenUsed/>
    <w:rsid w:val="009A4008"/>
    <w:pPr>
      <w:numPr>
        <w:numId w:val="3"/>
      </w:numPr>
      <w:spacing w:after="120" w:line="276" w:lineRule="auto"/>
      <w:contextualSpacing/>
    </w:pPr>
    <w:rPr>
      <w:rFonts w:ascii="Times New Roman" w:eastAsia="Times New Roman" w:hAnsi="Times New Roman"/>
      <w:sz w:val="22"/>
      <w:szCs w:val="22"/>
      <w:lang w:eastAsia="en-US"/>
    </w:rPr>
  </w:style>
  <w:style w:type="paragraph" w:styleId="ListNumber">
    <w:name w:val="List Number"/>
    <w:basedOn w:val="Normal"/>
    <w:uiPriority w:val="99"/>
    <w:unhideWhenUsed/>
    <w:rsid w:val="009A4008"/>
    <w:pPr>
      <w:numPr>
        <w:numId w:val="5"/>
      </w:numPr>
      <w:spacing w:after="120" w:line="276" w:lineRule="auto"/>
      <w:contextualSpacing/>
    </w:pPr>
    <w:rPr>
      <w:rFonts w:ascii="Times New Roman" w:eastAsia="Times New Roman" w:hAnsi="Times New Roman"/>
      <w:sz w:val="22"/>
      <w:szCs w:val="22"/>
      <w:lang w:eastAsia="en-US"/>
    </w:rPr>
  </w:style>
  <w:style w:type="paragraph" w:styleId="ListNumber2">
    <w:name w:val="List Number 2"/>
    <w:basedOn w:val="Normal"/>
    <w:uiPriority w:val="99"/>
    <w:unhideWhenUsed/>
    <w:rsid w:val="009A4008"/>
    <w:pPr>
      <w:numPr>
        <w:numId w:val="6"/>
      </w:numPr>
      <w:spacing w:after="120" w:line="276" w:lineRule="auto"/>
      <w:contextualSpacing/>
    </w:pPr>
    <w:rPr>
      <w:rFonts w:ascii="Times New Roman" w:eastAsia="Times New Roman" w:hAnsi="Times New Roman"/>
      <w:sz w:val="22"/>
      <w:szCs w:val="22"/>
      <w:lang w:eastAsia="en-US"/>
    </w:rPr>
  </w:style>
  <w:style w:type="paragraph" w:styleId="ListNumber3">
    <w:name w:val="List Number 3"/>
    <w:basedOn w:val="Normal"/>
    <w:uiPriority w:val="99"/>
    <w:unhideWhenUsed/>
    <w:rsid w:val="009A4008"/>
    <w:pPr>
      <w:numPr>
        <w:numId w:val="7"/>
      </w:numPr>
      <w:spacing w:after="120" w:line="276" w:lineRule="auto"/>
      <w:contextualSpacing/>
    </w:pPr>
    <w:rPr>
      <w:rFonts w:ascii="Times New Roman" w:eastAsia="Times New Roman" w:hAnsi="Times New Roman"/>
      <w:sz w:val="22"/>
      <w:szCs w:val="22"/>
      <w:lang w:eastAsia="en-US"/>
    </w:rPr>
  </w:style>
  <w:style w:type="paragraph" w:styleId="ListContinue">
    <w:name w:val="List Continue"/>
    <w:basedOn w:val="Normal"/>
    <w:uiPriority w:val="99"/>
    <w:unhideWhenUsed/>
    <w:rsid w:val="009A4008"/>
    <w:pPr>
      <w:spacing w:after="120" w:line="276" w:lineRule="auto"/>
      <w:ind w:left="360"/>
      <w:contextualSpacing/>
    </w:pPr>
    <w:rPr>
      <w:rFonts w:ascii="Times New Roman" w:eastAsia="Times New Roman" w:hAnsi="Times New Roman"/>
      <w:sz w:val="22"/>
      <w:szCs w:val="22"/>
      <w:lang w:eastAsia="en-US"/>
    </w:rPr>
  </w:style>
  <w:style w:type="paragraph" w:styleId="ListContinue2">
    <w:name w:val="List Continue 2"/>
    <w:basedOn w:val="Normal"/>
    <w:uiPriority w:val="99"/>
    <w:unhideWhenUsed/>
    <w:rsid w:val="009A4008"/>
    <w:pPr>
      <w:spacing w:after="120" w:line="276" w:lineRule="auto"/>
      <w:ind w:left="720"/>
      <w:contextualSpacing/>
    </w:pPr>
    <w:rPr>
      <w:rFonts w:ascii="Times New Roman" w:eastAsia="Times New Roman" w:hAnsi="Times New Roman"/>
      <w:sz w:val="22"/>
      <w:szCs w:val="22"/>
      <w:lang w:eastAsia="en-US"/>
    </w:rPr>
  </w:style>
  <w:style w:type="paragraph" w:styleId="ListContinue3">
    <w:name w:val="List Continue 3"/>
    <w:basedOn w:val="Normal"/>
    <w:uiPriority w:val="99"/>
    <w:unhideWhenUsed/>
    <w:rsid w:val="009A4008"/>
    <w:pPr>
      <w:spacing w:after="120" w:line="276" w:lineRule="auto"/>
      <w:ind w:left="1080"/>
      <w:contextualSpacing/>
    </w:pPr>
    <w:rPr>
      <w:rFonts w:ascii="Times New Roman" w:eastAsia="Times New Roman" w:hAnsi="Times New Roman"/>
      <w:sz w:val="22"/>
      <w:szCs w:val="22"/>
      <w:lang w:eastAsia="en-US"/>
    </w:rPr>
  </w:style>
  <w:style w:type="paragraph" w:styleId="MacroText">
    <w:name w:val="macro"/>
    <w:link w:val="MacroTextChar"/>
    <w:uiPriority w:val="99"/>
    <w:unhideWhenUsed/>
    <w:rsid w:val="009A40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A4008"/>
    <w:rPr>
      <w:rFonts w:ascii="Courier" w:eastAsiaTheme="minorEastAsia" w:hAnsi="Courier"/>
      <w:sz w:val="20"/>
      <w:szCs w:val="20"/>
      <w:lang w:val="en-US"/>
    </w:rPr>
  </w:style>
  <w:style w:type="paragraph" w:styleId="Quote">
    <w:name w:val="Quote"/>
    <w:basedOn w:val="Normal"/>
    <w:next w:val="Normal"/>
    <w:link w:val="QuoteChar"/>
    <w:uiPriority w:val="29"/>
    <w:qFormat/>
    <w:rsid w:val="009A4008"/>
    <w:pPr>
      <w:spacing w:after="120" w:line="276" w:lineRule="auto"/>
    </w:pPr>
    <w:rPr>
      <w:rFonts w:ascii="Times New Roman" w:eastAsia="Times New Roman" w:hAnsi="Times New Roman"/>
      <w:i/>
      <w:iCs/>
      <w:color w:val="000000" w:themeColor="text1"/>
      <w:sz w:val="22"/>
      <w:szCs w:val="22"/>
      <w:lang w:eastAsia="en-US"/>
    </w:rPr>
  </w:style>
  <w:style w:type="character" w:customStyle="1" w:styleId="QuoteChar">
    <w:name w:val="Quote Char"/>
    <w:basedOn w:val="DefaultParagraphFont"/>
    <w:link w:val="Quote"/>
    <w:uiPriority w:val="29"/>
    <w:rsid w:val="009A4008"/>
    <w:rPr>
      <w:rFonts w:ascii="Times New Roman" w:eastAsia="Times New Roman" w:hAnsi="Times New Roman"/>
      <w:i/>
      <w:iCs/>
      <w:color w:val="000000" w:themeColor="text1"/>
      <w:lang w:val="en-US"/>
    </w:rPr>
  </w:style>
  <w:style w:type="paragraph" w:styleId="Caption">
    <w:name w:val="caption"/>
    <w:basedOn w:val="Normal"/>
    <w:next w:val="Normal"/>
    <w:uiPriority w:val="35"/>
    <w:semiHidden/>
    <w:unhideWhenUsed/>
    <w:qFormat/>
    <w:rsid w:val="009A4008"/>
    <w:pPr>
      <w:spacing w:after="120"/>
    </w:pPr>
    <w:rPr>
      <w:rFonts w:ascii="Times New Roman" w:eastAsia="Times New Roman" w:hAnsi="Times New Roman"/>
      <w:b/>
      <w:bCs/>
      <w:color w:val="4472C4" w:themeColor="accent1"/>
      <w:sz w:val="18"/>
      <w:szCs w:val="18"/>
      <w:lang w:eastAsia="en-US"/>
    </w:rPr>
  </w:style>
  <w:style w:type="character" w:styleId="Strong">
    <w:name w:val="Strong"/>
    <w:basedOn w:val="DefaultParagraphFont"/>
    <w:uiPriority w:val="22"/>
    <w:qFormat/>
    <w:rsid w:val="009A4008"/>
    <w:rPr>
      <w:b/>
      <w:bCs/>
    </w:rPr>
  </w:style>
  <w:style w:type="paragraph" w:styleId="IntenseQuote">
    <w:name w:val="Intense Quote"/>
    <w:basedOn w:val="Normal"/>
    <w:next w:val="Normal"/>
    <w:link w:val="IntenseQuoteChar"/>
    <w:uiPriority w:val="30"/>
    <w:qFormat/>
    <w:rsid w:val="009A4008"/>
    <w:pPr>
      <w:pBdr>
        <w:bottom w:val="single" w:sz="4" w:space="4" w:color="4472C4" w:themeColor="accent1"/>
      </w:pBdr>
      <w:spacing w:before="200" w:after="280" w:line="276" w:lineRule="auto"/>
      <w:ind w:left="936" w:right="936"/>
    </w:pPr>
    <w:rPr>
      <w:rFonts w:ascii="Times New Roman" w:eastAsia="Times New Roman" w:hAnsi="Times New Roman"/>
      <w:b/>
      <w:bCs/>
      <w:i/>
      <w:iCs/>
      <w:color w:val="4472C4" w:themeColor="accent1"/>
      <w:sz w:val="22"/>
      <w:szCs w:val="22"/>
      <w:lang w:eastAsia="en-US"/>
    </w:rPr>
  </w:style>
  <w:style w:type="character" w:customStyle="1" w:styleId="IntenseQuoteChar">
    <w:name w:val="Intense Quote Char"/>
    <w:basedOn w:val="DefaultParagraphFont"/>
    <w:link w:val="IntenseQuote"/>
    <w:uiPriority w:val="30"/>
    <w:rsid w:val="009A4008"/>
    <w:rPr>
      <w:rFonts w:ascii="Times New Roman" w:eastAsia="Times New Roman" w:hAnsi="Times New Roman"/>
      <w:b/>
      <w:bCs/>
      <w:i/>
      <w:iCs/>
      <w:color w:val="4472C4" w:themeColor="accent1"/>
      <w:lang w:val="en-US"/>
    </w:rPr>
  </w:style>
  <w:style w:type="character" w:styleId="SubtleEmphasis">
    <w:name w:val="Subtle Emphasis"/>
    <w:basedOn w:val="DefaultParagraphFont"/>
    <w:uiPriority w:val="19"/>
    <w:qFormat/>
    <w:rsid w:val="009A4008"/>
    <w:rPr>
      <w:i/>
      <w:iCs/>
      <w:color w:val="808080" w:themeColor="text1" w:themeTint="7F"/>
    </w:rPr>
  </w:style>
  <w:style w:type="character" w:styleId="IntenseEmphasis">
    <w:name w:val="Intense Emphasis"/>
    <w:basedOn w:val="DefaultParagraphFont"/>
    <w:uiPriority w:val="21"/>
    <w:qFormat/>
    <w:rsid w:val="009A4008"/>
    <w:rPr>
      <w:b/>
      <w:bCs/>
      <w:i/>
      <w:iCs/>
      <w:color w:val="4472C4" w:themeColor="accent1"/>
    </w:rPr>
  </w:style>
  <w:style w:type="character" w:styleId="SubtleReference">
    <w:name w:val="Subtle Reference"/>
    <w:basedOn w:val="DefaultParagraphFont"/>
    <w:uiPriority w:val="31"/>
    <w:qFormat/>
    <w:rsid w:val="009A4008"/>
    <w:rPr>
      <w:smallCaps/>
      <w:color w:val="ED7D31" w:themeColor="accent2"/>
      <w:u w:val="single"/>
    </w:rPr>
  </w:style>
  <w:style w:type="character" w:styleId="IntenseReference">
    <w:name w:val="Intense Reference"/>
    <w:basedOn w:val="DefaultParagraphFont"/>
    <w:uiPriority w:val="32"/>
    <w:qFormat/>
    <w:rsid w:val="009A4008"/>
    <w:rPr>
      <w:b/>
      <w:bCs/>
      <w:smallCaps/>
      <w:color w:val="ED7D31" w:themeColor="accent2"/>
      <w:spacing w:val="5"/>
      <w:u w:val="single"/>
    </w:rPr>
  </w:style>
  <w:style w:type="character" w:styleId="BookTitle">
    <w:name w:val="Book Title"/>
    <w:basedOn w:val="DefaultParagraphFont"/>
    <w:uiPriority w:val="33"/>
    <w:qFormat/>
    <w:rsid w:val="009A4008"/>
    <w:rPr>
      <w:b/>
      <w:bCs/>
      <w:smallCaps/>
      <w:spacing w:val="5"/>
    </w:rPr>
  </w:style>
  <w:style w:type="paragraph" w:styleId="TOCHeading">
    <w:name w:val="TOC Heading"/>
    <w:basedOn w:val="Heading1"/>
    <w:next w:val="Normal"/>
    <w:uiPriority w:val="39"/>
    <w:semiHidden/>
    <w:unhideWhenUsed/>
    <w:qFormat/>
    <w:rsid w:val="009A4008"/>
    <w:pPr>
      <w:outlineLvl w:val="9"/>
    </w:pPr>
  </w:style>
  <w:style w:type="table" w:styleId="TableGrid">
    <w:name w:val="Table Grid"/>
    <w:basedOn w:val="TableNormal"/>
    <w:uiPriority w:val="59"/>
    <w:rsid w:val="009A400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9A4008"/>
    <w:pPr>
      <w:spacing w:after="0" w:line="240" w:lineRule="auto"/>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A4008"/>
    <w:pPr>
      <w:spacing w:after="0" w:line="240" w:lineRule="auto"/>
    </w:pPr>
    <w:rPr>
      <w:rFonts w:eastAsiaTheme="minorEastAsia"/>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A4008"/>
    <w:pPr>
      <w:spacing w:after="0" w:line="240" w:lineRule="auto"/>
    </w:pPr>
    <w:rPr>
      <w:rFonts w:eastAsiaTheme="minorEastAsia"/>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A4008"/>
    <w:pPr>
      <w:spacing w:after="0" w:line="240" w:lineRule="auto"/>
    </w:pPr>
    <w:rPr>
      <w:rFonts w:eastAsiaTheme="minorEastAsia"/>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A4008"/>
    <w:pPr>
      <w:spacing w:after="0" w:line="240" w:lineRule="auto"/>
    </w:pPr>
    <w:rPr>
      <w:rFonts w:eastAsiaTheme="minorEastAsia"/>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A4008"/>
    <w:pPr>
      <w:spacing w:after="0" w:line="240" w:lineRule="auto"/>
    </w:pPr>
    <w:rPr>
      <w:rFonts w:eastAsiaTheme="minorEastAsia"/>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A4008"/>
    <w:pPr>
      <w:spacing w:after="0" w:line="240" w:lineRule="auto"/>
    </w:pPr>
    <w:rPr>
      <w:rFonts w:eastAsiaTheme="minorEastAsia"/>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9A4008"/>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A4008"/>
    <w:pPr>
      <w:spacing w:after="0" w:line="240" w:lineRule="auto"/>
    </w:pPr>
    <w:rPr>
      <w:rFonts w:eastAsiaTheme="minorEastAsia"/>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A4008"/>
    <w:pPr>
      <w:spacing w:after="0" w:line="240" w:lineRule="auto"/>
    </w:pPr>
    <w:rPr>
      <w:rFonts w:eastAsiaTheme="minorEastAsi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A4008"/>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A4008"/>
    <w:pPr>
      <w:spacing w:after="0" w:line="240" w:lineRule="auto"/>
    </w:pPr>
    <w:rPr>
      <w:rFonts w:eastAsiaTheme="minorEastAsia"/>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A4008"/>
    <w:pPr>
      <w:spacing w:after="0" w:line="240" w:lineRule="auto"/>
    </w:pPr>
    <w:rPr>
      <w:rFonts w:eastAsiaTheme="minorEastAsia"/>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A4008"/>
    <w:pPr>
      <w:spacing w:after="0" w:line="240" w:lineRule="auto"/>
    </w:pPr>
    <w:rPr>
      <w:rFonts w:eastAsiaTheme="minorEastAsia"/>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9A4008"/>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A4008"/>
    <w:pPr>
      <w:spacing w:after="0" w:line="240" w:lineRule="auto"/>
    </w:pPr>
    <w:rPr>
      <w:rFonts w:eastAsiaTheme="minorEastAsia"/>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A4008"/>
    <w:pPr>
      <w:spacing w:after="0" w:line="240" w:lineRule="auto"/>
    </w:pPr>
    <w:rPr>
      <w:rFonts w:eastAsiaTheme="minorEastAsi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A4008"/>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A4008"/>
    <w:pPr>
      <w:spacing w:after="0" w:line="240" w:lineRule="auto"/>
    </w:pPr>
    <w:rPr>
      <w:rFonts w:eastAsiaTheme="minorEastAsia"/>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A4008"/>
    <w:pPr>
      <w:spacing w:after="0" w:line="240" w:lineRule="auto"/>
    </w:pPr>
    <w:rPr>
      <w:rFonts w:eastAsiaTheme="minorEastAsia"/>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A4008"/>
    <w:pPr>
      <w:spacing w:after="0" w:line="240" w:lineRule="auto"/>
    </w:pPr>
    <w:rPr>
      <w:rFonts w:eastAsiaTheme="minorEastAsia"/>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9A4008"/>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A4008"/>
    <w:pPr>
      <w:spacing w:after="0" w:line="240" w:lineRule="auto"/>
    </w:pPr>
    <w:rPr>
      <w:rFonts w:eastAsiaTheme="minorEastAsia"/>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A4008"/>
    <w:pPr>
      <w:spacing w:after="0" w:line="240" w:lineRule="auto"/>
    </w:pPr>
    <w:rPr>
      <w:rFonts w:eastAsiaTheme="minorEastAsia"/>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A4008"/>
    <w:pPr>
      <w:spacing w:after="0" w:line="240" w:lineRule="auto"/>
    </w:pPr>
    <w:rPr>
      <w:rFonts w:eastAsiaTheme="minorEastAsia"/>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A4008"/>
    <w:pPr>
      <w:spacing w:after="0" w:line="240" w:lineRule="auto"/>
    </w:pPr>
    <w:rPr>
      <w:rFonts w:eastAsiaTheme="minorEastAsia"/>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A4008"/>
    <w:pPr>
      <w:spacing w:after="0" w:line="240" w:lineRule="auto"/>
    </w:pPr>
    <w:rPr>
      <w:rFonts w:eastAsiaTheme="minorEastAsia"/>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A4008"/>
    <w:pPr>
      <w:spacing w:after="0" w:line="240" w:lineRule="auto"/>
    </w:pPr>
    <w:rPr>
      <w:rFonts w:eastAsiaTheme="minorEastAsia"/>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A400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A400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A400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A400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A400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A400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A400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A4008"/>
    <w:pPr>
      <w:spacing w:after="0" w:line="240" w:lineRule="auto"/>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A4008"/>
    <w:pPr>
      <w:spacing w:after="0" w:line="240" w:lineRule="auto"/>
    </w:pPr>
    <w:rPr>
      <w:rFonts w:eastAsiaTheme="minorEastAsia"/>
      <w:color w:val="000000" w:themeColor="text1"/>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A4008"/>
    <w:pPr>
      <w:spacing w:after="0" w:line="240" w:lineRule="auto"/>
    </w:pPr>
    <w:rPr>
      <w:rFonts w:eastAsiaTheme="minorEastAsia"/>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A4008"/>
    <w:pPr>
      <w:spacing w:after="0" w:line="240" w:lineRule="auto"/>
    </w:pPr>
    <w:rPr>
      <w:rFonts w:eastAsiaTheme="minorEastAsia"/>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A4008"/>
    <w:pPr>
      <w:spacing w:after="0" w:line="240" w:lineRule="auto"/>
    </w:pPr>
    <w:rPr>
      <w:rFonts w:eastAsiaTheme="minorEastAsia"/>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A4008"/>
    <w:pPr>
      <w:spacing w:after="0" w:line="240" w:lineRule="auto"/>
    </w:pPr>
    <w:rPr>
      <w:rFonts w:eastAsiaTheme="minorEastAsia"/>
      <w:color w:val="000000" w:themeColor="text1"/>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A4008"/>
    <w:pPr>
      <w:spacing w:after="0" w:line="240" w:lineRule="auto"/>
    </w:pPr>
    <w:rPr>
      <w:rFonts w:eastAsiaTheme="minorEastAsia"/>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A4008"/>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A4008"/>
    <w:pPr>
      <w:spacing w:after="0" w:line="240" w:lineRule="auto"/>
    </w:pPr>
    <w:rPr>
      <w:rFonts w:eastAsiaTheme="minorEastAsia"/>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A4008"/>
    <w:pPr>
      <w:spacing w:after="0" w:line="240" w:lineRule="auto"/>
    </w:pPr>
    <w:rPr>
      <w:rFonts w:eastAsiaTheme="minorEastAsia"/>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A4008"/>
    <w:pPr>
      <w:spacing w:after="0" w:line="240" w:lineRule="auto"/>
    </w:pPr>
    <w:rPr>
      <w:rFonts w:eastAsiaTheme="minorEastAsia"/>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A4008"/>
    <w:pPr>
      <w:spacing w:after="0" w:line="240" w:lineRule="auto"/>
    </w:pPr>
    <w:rPr>
      <w:rFonts w:eastAsiaTheme="minorEastAsia"/>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A4008"/>
    <w:pPr>
      <w:spacing w:after="0" w:line="240" w:lineRule="auto"/>
    </w:pPr>
    <w:rPr>
      <w:rFonts w:eastAsiaTheme="minorEastAsia"/>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A4008"/>
    <w:pPr>
      <w:spacing w:after="0" w:line="240" w:lineRule="auto"/>
    </w:pPr>
    <w:rPr>
      <w:rFonts w:eastAsiaTheme="minorEastAsia"/>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A40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A4008"/>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A4008"/>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A4008"/>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A4008"/>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A4008"/>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A4008"/>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A4008"/>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9A4008"/>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A4008"/>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A4008"/>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A4008"/>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A4008"/>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A4008"/>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A4008"/>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9A4008"/>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A4008"/>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A4008"/>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A4008"/>
    <w:pPr>
      <w:spacing w:after="0" w:line="240" w:lineRule="auto"/>
    </w:pPr>
    <w:rPr>
      <w:rFonts w:eastAsiaTheme="minorEastAsia"/>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A4008"/>
    <w:pPr>
      <w:spacing w:after="0" w:line="240" w:lineRule="auto"/>
    </w:pPr>
    <w:rPr>
      <w:rFonts w:eastAsiaTheme="minorEastAsia"/>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A4008"/>
    <w:pPr>
      <w:spacing w:after="0" w:line="240" w:lineRule="auto"/>
    </w:pPr>
    <w:rPr>
      <w:rFonts w:eastAsiaTheme="minorEastAsia"/>
      <w:color w:val="000000" w:themeColor="text1"/>
    </w:r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A4008"/>
    <w:pPr>
      <w:spacing w:after="0" w:line="240" w:lineRule="auto"/>
    </w:pPr>
    <w:rPr>
      <w:rFonts w:eastAsiaTheme="minorEastAsia"/>
      <w:color w:val="000000" w:themeColor="text1"/>
    </w:r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A4008"/>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A4008"/>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A4008"/>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A4008"/>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A4008"/>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A4008"/>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A4008"/>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9A4008"/>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A4008"/>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A4008"/>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A4008"/>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A4008"/>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A4008"/>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A4008"/>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91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7037</Words>
  <Characters>40114</Characters>
  <Application>Microsoft Office Word</Application>
  <DocSecurity>0</DocSecurity>
  <Lines>334</Lines>
  <Paragraphs>94</Paragraphs>
  <ScaleCrop>false</ScaleCrop>
  <Company/>
  <LinksUpToDate>false</LinksUpToDate>
  <CharactersWithSpaces>47057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dc:creator>
  <cp:keywords/>
  <dc:description/>
  <cp:lastModifiedBy>DELL 3350</cp:lastModifiedBy>
  <cp:revision>4</cp:revision>
  <dcterms:created xsi:type="dcterms:W3CDTF">2026-10-10T15:23:00Z</dcterms:created>
  <dcterms:modified xsi:type="dcterms:W3CDTF">2026-10-11T12:46:00Z</dcterms:modified>
</cp:coreProperties>
</file>