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D67DCC" w14:textId="16DB25E4" w:rsidR="00081728" w:rsidRDefault="00081728" w:rsidP="00081728">
      <w:pPr>
        <w:pStyle w:val="Heading1"/>
      </w:pPr>
      <w:r>
        <w:t>Homepage</w:t>
      </w:r>
    </w:p>
    <w:p w14:paraId="4567C12C" w14:textId="77777777" w:rsidR="00081728" w:rsidRDefault="00081728" w:rsidP="00637BA2">
      <w:pPr>
        <w:ind w:left="720" w:hanging="360"/>
      </w:pPr>
    </w:p>
    <w:p w14:paraId="4E652202" w14:textId="6E90A0B0" w:rsidR="00081728" w:rsidRPr="00081728" w:rsidRDefault="00637BA2" w:rsidP="00637BA2">
      <w:pPr>
        <w:pStyle w:val="ListParagraph"/>
        <w:numPr>
          <w:ilvl w:val="0"/>
          <w:numId w:val="2"/>
        </w:numPr>
        <w:rPr>
          <w:lang w:val="en-GB"/>
        </w:rPr>
      </w:pPr>
      <w:r>
        <w:rPr>
          <w:lang w:val="en-GB"/>
        </w:rPr>
        <w:t xml:space="preserve">Homepage. “What we do” section. </w:t>
      </w:r>
    </w:p>
    <w:p w14:paraId="5C64FA61" w14:textId="1C60F35E" w:rsidR="00637BA2" w:rsidRDefault="00637BA2" w:rsidP="00637BA2">
      <w:pPr>
        <w:rPr>
          <w:lang w:val="en-GB"/>
        </w:rPr>
      </w:pPr>
      <w:r>
        <w:rPr>
          <w:lang w:val="en-GB"/>
        </w:rPr>
        <w:t>Now is written- “Five ways we help leaders and institutions be understood”</w:t>
      </w:r>
    </w:p>
    <w:p w14:paraId="24880880" w14:textId="4BF792DC" w:rsidR="00637BA2" w:rsidRDefault="00637BA2" w:rsidP="00637BA2">
      <w:r>
        <w:rPr>
          <w:lang w:val="en-GB"/>
        </w:rPr>
        <w:t>Change to- “</w:t>
      </w:r>
      <w:proofErr w:type="spellStart"/>
      <w:r>
        <w:t>Narris</w:t>
      </w:r>
      <w:proofErr w:type="spellEnd"/>
      <w:r>
        <w:t xml:space="preserve"> helps </w:t>
      </w:r>
      <w:r>
        <w:t>leaders and institutions</w:t>
      </w:r>
      <w:r>
        <w:t xml:space="preserve"> make sense of complex information, sharpen their positioning, and communicate with clarity</w:t>
      </w:r>
      <w:r>
        <w:t>”</w:t>
      </w:r>
    </w:p>
    <w:p w14:paraId="73C9F216" w14:textId="255932F9" w:rsidR="00637BA2" w:rsidRDefault="00637BA2" w:rsidP="00637BA2"/>
    <w:p w14:paraId="6A055365" w14:textId="2DB53786" w:rsidR="00637BA2" w:rsidRDefault="00637BA2" w:rsidP="00637BA2">
      <w:pPr>
        <w:pStyle w:val="ListParagraph"/>
        <w:numPr>
          <w:ilvl w:val="0"/>
          <w:numId w:val="2"/>
        </w:numPr>
        <w:rPr>
          <w:lang w:val="en-GB"/>
        </w:rPr>
      </w:pPr>
      <w:r>
        <w:rPr>
          <w:lang w:val="en-GB"/>
        </w:rPr>
        <w:t>Homepage. “Our philosophy” section</w:t>
      </w:r>
    </w:p>
    <w:p w14:paraId="1C1FE194" w14:textId="5927AB56" w:rsidR="00637BA2" w:rsidRDefault="00637BA2" w:rsidP="00637BA2">
      <w:pPr>
        <w:rPr>
          <w:lang w:val="en-GB"/>
        </w:rPr>
      </w:pPr>
      <w:r>
        <w:rPr>
          <w:lang w:val="en-GB"/>
        </w:rPr>
        <w:t>… between the boldened “Closing the…” and the second section “</w:t>
      </w:r>
      <w:r w:rsidR="00CF22CF">
        <w:rPr>
          <w:lang w:val="en-GB"/>
        </w:rPr>
        <w:t>Most organizations…” let’s introduce spacing. They are too much together.</w:t>
      </w:r>
    </w:p>
    <w:p w14:paraId="786BFDD7" w14:textId="7EA91676" w:rsidR="00CA3155" w:rsidRPr="00CA3155" w:rsidRDefault="00CA3155" w:rsidP="00CA3155">
      <w:pPr>
        <w:pStyle w:val="Heading2"/>
        <w:pBdr>
          <w:top w:val="single" w:sz="2" w:space="0" w:color="E5E7EB"/>
          <w:left w:val="single" w:sz="2" w:space="0" w:color="E5E7EB"/>
          <w:bottom w:val="single" w:sz="2" w:space="0" w:color="E5E7EB"/>
          <w:right w:val="single" w:sz="2" w:space="0" w:color="E5E7EB"/>
        </w:pBdr>
        <w:shd w:val="clear" w:color="auto" w:fill="EBE6E4"/>
        <w:rPr>
          <w:rFonts w:asciiTheme="minorHAnsi" w:eastAsiaTheme="minorHAnsi" w:hAnsiTheme="minorHAnsi" w:cstheme="minorBidi"/>
          <w:color w:val="auto"/>
          <w:sz w:val="24"/>
          <w:szCs w:val="24"/>
          <w:lang w:val="en-GB"/>
        </w:rPr>
      </w:pPr>
      <w:r w:rsidRPr="00CA3155">
        <w:rPr>
          <w:rFonts w:asciiTheme="minorHAnsi" w:eastAsiaTheme="minorHAnsi" w:hAnsiTheme="minorHAnsi" w:cstheme="minorBidi"/>
          <w:color w:val="auto"/>
          <w:sz w:val="24"/>
          <w:szCs w:val="24"/>
          <w:lang w:val="en-GB"/>
        </w:rPr>
        <w:t>…Now is written- “</w:t>
      </w:r>
      <w:r w:rsidRPr="00CA3155">
        <w:rPr>
          <w:rFonts w:asciiTheme="minorHAnsi" w:eastAsiaTheme="minorHAnsi" w:hAnsiTheme="minorHAnsi" w:cstheme="minorBidi"/>
          <w:color w:val="auto"/>
          <w:sz w:val="24"/>
          <w:szCs w:val="24"/>
          <w:lang w:val="en-GB"/>
        </w:rPr>
        <w:t>Closing the gap between intent and interpretation</w:t>
      </w:r>
      <w:r>
        <w:rPr>
          <w:rFonts w:asciiTheme="minorHAnsi" w:eastAsiaTheme="minorHAnsi" w:hAnsiTheme="minorHAnsi" w:cstheme="minorBidi"/>
          <w:color w:val="auto"/>
          <w:sz w:val="24"/>
          <w:szCs w:val="24"/>
          <w:lang w:val="en-GB"/>
        </w:rPr>
        <w:t>”</w:t>
      </w:r>
    </w:p>
    <w:p w14:paraId="61E4E05A" w14:textId="3D1B1F6C" w:rsidR="00CA3155" w:rsidRDefault="00CA3155" w:rsidP="00637BA2">
      <w:pPr>
        <w:rPr>
          <w:lang w:val="en-GB"/>
        </w:rPr>
      </w:pPr>
      <w:r>
        <w:rPr>
          <w:lang w:val="en-GB"/>
        </w:rPr>
        <w:t>Remove bold and change to- “</w:t>
      </w:r>
      <w:r>
        <w:rPr>
          <w:lang w:val="en-GB"/>
        </w:rPr>
        <w:t>Potential alone is inadequate to drive success; most organizations still struggle</w:t>
      </w:r>
      <w:r w:rsidRPr="00CF22CF">
        <w:rPr>
          <w:lang w:val="en-GB"/>
        </w:rPr>
        <w:t xml:space="preserve"> because they are poorly positioned,</w:t>
      </w:r>
      <w:r>
        <w:rPr>
          <w:lang w:val="en-GB"/>
        </w:rPr>
        <w:t xml:space="preserve"> </w:t>
      </w:r>
      <w:r w:rsidRPr="00CF22CF">
        <w:rPr>
          <w:lang w:val="en-GB"/>
        </w:rPr>
        <w:t>internally fragmented</w:t>
      </w:r>
      <w:r>
        <w:rPr>
          <w:lang w:val="en-GB"/>
        </w:rPr>
        <w:t>,</w:t>
      </w:r>
      <w:r w:rsidRPr="00CF22CF">
        <w:rPr>
          <w:lang w:val="en-GB"/>
        </w:rPr>
        <w:t xml:space="preserve"> misunderstood or disconnected from the people they seek to influence</w:t>
      </w:r>
      <w:r>
        <w:rPr>
          <w:lang w:val="en-GB"/>
        </w:rPr>
        <w:t>.”</w:t>
      </w:r>
    </w:p>
    <w:p w14:paraId="2DA0F6E7" w14:textId="2A794DC8" w:rsidR="00CF22CF" w:rsidRDefault="00CF22CF" w:rsidP="00CF22CF">
      <w:pPr>
        <w:rPr>
          <w:lang w:val="en-GB"/>
        </w:rPr>
      </w:pPr>
      <w:r>
        <w:rPr>
          <w:lang w:val="en-GB"/>
        </w:rPr>
        <w:t>…Now is written- “Mos</w:t>
      </w:r>
      <w:r w:rsidRPr="00CF22CF">
        <w:rPr>
          <w:lang w:val="en-GB"/>
        </w:rPr>
        <w:t>t organisations have the ambition, intelligence or capability. They can still fail because they are misunderstood, internally fragmented, poorly positioned, strategically unclear, or disconnected from the people they seek to influence.</w:t>
      </w:r>
      <w:r>
        <w:rPr>
          <w:lang w:val="en-GB"/>
        </w:rPr>
        <w:t>”</w:t>
      </w:r>
    </w:p>
    <w:p w14:paraId="0AA9AC54" w14:textId="0FB857EC" w:rsidR="00CF22CF" w:rsidRDefault="00CA3155" w:rsidP="00CF22CF">
      <w:pPr>
        <w:rPr>
          <w:lang w:val="en-GB"/>
        </w:rPr>
      </w:pPr>
      <w:r>
        <w:rPr>
          <w:lang w:val="en-GB"/>
        </w:rPr>
        <w:t>Boldface and c</w:t>
      </w:r>
      <w:r w:rsidR="00CF22CF">
        <w:rPr>
          <w:lang w:val="en-GB"/>
        </w:rPr>
        <w:t>hange to- “</w:t>
      </w:r>
      <w:r>
        <w:rPr>
          <w:lang w:val="en-GB"/>
        </w:rPr>
        <w:t>We bridge the gap between intent and interpretation</w:t>
      </w:r>
      <w:r>
        <w:rPr>
          <w:lang w:val="en-GB"/>
        </w:rPr>
        <w:t>.</w:t>
      </w:r>
      <w:r w:rsidR="00CF22CF">
        <w:rPr>
          <w:lang w:val="en-GB"/>
        </w:rPr>
        <w:t>”</w:t>
      </w:r>
    </w:p>
    <w:p w14:paraId="2E11B3B4" w14:textId="7827D85A" w:rsidR="00596E73" w:rsidRDefault="00596E73" w:rsidP="00CF22CF">
      <w:pPr>
        <w:rPr>
          <w:lang w:val="en-GB"/>
        </w:rPr>
      </w:pPr>
    </w:p>
    <w:p w14:paraId="2BA3FE57" w14:textId="14FA1D01" w:rsidR="00596E73" w:rsidRDefault="00596E73" w:rsidP="00596E73">
      <w:pPr>
        <w:pStyle w:val="ListParagraph"/>
        <w:numPr>
          <w:ilvl w:val="0"/>
          <w:numId w:val="2"/>
        </w:numPr>
        <w:rPr>
          <w:lang w:val="en-GB"/>
        </w:rPr>
      </w:pPr>
      <w:r>
        <w:rPr>
          <w:lang w:val="en-GB"/>
        </w:rPr>
        <w:t>Homepage. “How we do it” section</w:t>
      </w:r>
    </w:p>
    <w:p w14:paraId="5A37707A" w14:textId="4640699A" w:rsidR="00596E73" w:rsidRDefault="00596E73" w:rsidP="00596E73">
      <w:pPr>
        <w:rPr>
          <w:lang w:val="en-GB"/>
        </w:rPr>
      </w:pPr>
      <w:r>
        <w:rPr>
          <w:lang w:val="en-GB"/>
        </w:rPr>
        <w:t>Remove the NUMBERING from 01 (Research) to 06 (Align) and use more creative visual representations to represent the 6 disciplines. Perhaps the ‘beautiful’ dots from Kantar’s website?</w:t>
      </w:r>
    </w:p>
    <w:p w14:paraId="30201628" w14:textId="58FD9978" w:rsidR="00596E73" w:rsidRDefault="00596E73" w:rsidP="00596E73">
      <w:pPr>
        <w:rPr>
          <w:lang w:val="en-GB"/>
        </w:rPr>
      </w:pPr>
    </w:p>
    <w:p w14:paraId="13F5882F" w14:textId="39B5676B" w:rsidR="00596E73" w:rsidRDefault="00596E73" w:rsidP="00596E73">
      <w:pPr>
        <w:pStyle w:val="ListParagraph"/>
        <w:numPr>
          <w:ilvl w:val="0"/>
          <w:numId w:val="2"/>
        </w:numPr>
        <w:rPr>
          <w:lang w:val="en-GB"/>
        </w:rPr>
      </w:pPr>
      <w:r>
        <w:rPr>
          <w:lang w:val="en-GB"/>
        </w:rPr>
        <w:t xml:space="preserve">The cookie </w:t>
      </w:r>
      <w:proofErr w:type="gramStart"/>
      <w:r>
        <w:rPr>
          <w:lang w:val="en-GB"/>
        </w:rPr>
        <w:t>message</w:t>
      </w:r>
      <w:proofErr w:type="gramEnd"/>
      <w:r>
        <w:rPr>
          <w:lang w:val="en-GB"/>
        </w:rPr>
        <w:t xml:space="preserve"> </w:t>
      </w:r>
    </w:p>
    <w:p w14:paraId="7F4D5546" w14:textId="368C1AD6" w:rsidR="00596E73" w:rsidRDefault="00596E73" w:rsidP="00596E73">
      <w:pPr>
        <w:rPr>
          <w:lang w:val="en-GB"/>
        </w:rPr>
      </w:pPr>
      <w:r>
        <w:rPr>
          <w:lang w:val="en-GB"/>
        </w:rPr>
        <w:t>…Now reads- “The site uses only essential storage…”</w:t>
      </w:r>
    </w:p>
    <w:p w14:paraId="37EE5C9C" w14:textId="40A96C45" w:rsidR="00596E73" w:rsidRDefault="00596E73" w:rsidP="00596E73">
      <w:pPr>
        <w:rPr>
          <w:lang w:val="en-GB"/>
        </w:rPr>
      </w:pPr>
      <w:r>
        <w:rPr>
          <w:lang w:val="en-GB"/>
        </w:rPr>
        <w:t>Change to- “The site uses only essential cookies…</w:t>
      </w:r>
      <w:proofErr w:type="gramStart"/>
      <w:r>
        <w:rPr>
          <w:lang w:val="en-GB"/>
        </w:rPr>
        <w:t>” ?</w:t>
      </w:r>
      <w:proofErr w:type="gramEnd"/>
    </w:p>
    <w:p w14:paraId="3EAB79CB" w14:textId="29536381" w:rsidR="00596E73" w:rsidRDefault="00596E73" w:rsidP="00596E73">
      <w:pPr>
        <w:rPr>
          <w:lang w:val="en-GB"/>
        </w:rPr>
      </w:pPr>
      <w:r>
        <w:rPr>
          <w:lang w:val="en-GB"/>
        </w:rPr>
        <w:t>…Instead of the “Understood” button; can we get an “x” to close the pop up?</w:t>
      </w:r>
    </w:p>
    <w:p w14:paraId="7F1D1238" w14:textId="1950DDB1" w:rsidR="00596E73" w:rsidRDefault="00596E73" w:rsidP="00596E73">
      <w:pPr>
        <w:rPr>
          <w:lang w:val="en-GB"/>
        </w:rPr>
      </w:pPr>
    </w:p>
    <w:p w14:paraId="4E557FC7" w14:textId="449F95E7" w:rsidR="00596E73" w:rsidRDefault="00596E73" w:rsidP="00596E73">
      <w:pPr>
        <w:pStyle w:val="ListParagraph"/>
        <w:numPr>
          <w:ilvl w:val="0"/>
          <w:numId w:val="2"/>
        </w:numPr>
        <w:rPr>
          <w:lang w:val="en-GB"/>
        </w:rPr>
      </w:pPr>
      <w:r>
        <w:rPr>
          <w:lang w:val="en-GB"/>
        </w:rPr>
        <w:t>Homepage. Core values</w:t>
      </w:r>
    </w:p>
    <w:p w14:paraId="39468D72" w14:textId="1B9B8DB4" w:rsidR="00081728" w:rsidRDefault="00081728" w:rsidP="00081728">
      <w:pPr>
        <w:rPr>
          <w:lang w:val="en-GB"/>
        </w:rPr>
      </w:pPr>
      <w:r>
        <w:rPr>
          <w:lang w:val="en-GB"/>
        </w:rPr>
        <w:t>…Now reads- “Our core values”</w:t>
      </w:r>
    </w:p>
    <w:p w14:paraId="3997E68B" w14:textId="0BCA9BC7" w:rsidR="00081728" w:rsidRPr="00081728" w:rsidRDefault="00081728" w:rsidP="00081728">
      <w:pPr>
        <w:rPr>
          <w:lang w:val="en-GB"/>
        </w:rPr>
      </w:pPr>
      <w:r>
        <w:rPr>
          <w:lang w:val="en-GB"/>
        </w:rPr>
        <w:t>Change to- “What guides our work”</w:t>
      </w:r>
    </w:p>
    <w:p w14:paraId="27CB268C" w14:textId="19B6EF6E" w:rsidR="00596E73" w:rsidRDefault="00596E73" w:rsidP="00596E73">
      <w:pPr>
        <w:rPr>
          <w:lang w:val="en-GB"/>
        </w:rPr>
      </w:pPr>
      <w:r>
        <w:rPr>
          <w:lang w:val="en-GB"/>
        </w:rPr>
        <w:t>…Now reads- “What we hold ourselves to”</w:t>
      </w:r>
    </w:p>
    <w:p w14:paraId="1A0C110D" w14:textId="4F309691" w:rsidR="00596E73" w:rsidRDefault="00596E73" w:rsidP="00596E73">
      <w:pPr>
        <w:rPr>
          <w:lang w:val="en-GB"/>
        </w:rPr>
      </w:pPr>
      <w:r>
        <w:rPr>
          <w:lang w:val="en-GB"/>
        </w:rPr>
        <w:t>Change to- “We hold ourselves to”</w:t>
      </w:r>
    </w:p>
    <w:p w14:paraId="160D0D7F" w14:textId="2AA9D979" w:rsidR="00596E73" w:rsidRDefault="00596E73" w:rsidP="00596E73">
      <w:pPr>
        <w:rPr>
          <w:lang w:val="en-GB"/>
        </w:rPr>
      </w:pPr>
      <w:r>
        <w:rPr>
          <w:lang w:val="en-GB"/>
        </w:rPr>
        <w:t xml:space="preserve">… remove the </w:t>
      </w:r>
      <w:proofErr w:type="spellStart"/>
      <w:r>
        <w:rPr>
          <w:lang w:val="en-GB"/>
        </w:rPr>
        <w:t>fullstop</w:t>
      </w:r>
      <w:proofErr w:type="spellEnd"/>
      <w:r>
        <w:rPr>
          <w:lang w:val="en-GB"/>
        </w:rPr>
        <w:t>?</w:t>
      </w:r>
    </w:p>
    <w:p w14:paraId="5108C003" w14:textId="57BB10C0" w:rsidR="00596E73" w:rsidRDefault="00596E73" w:rsidP="00596E73">
      <w:pPr>
        <w:rPr>
          <w:lang w:val="en-GB"/>
        </w:rPr>
      </w:pPr>
    </w:p>
    <w:p w14:paraId="602DFA8E" w14:textId="0340D388" w:rsidR="00FF7015" w:rsidRDefault="00A85D1D" w:rsidP="009F0E23">
      <w:pPr>
        <w:pStyle w:val="Heading1"/>
        <w:rPr>
          <w:lang w:val="en-GB"/>
        </w:rPr>
      </w:pPr>
      <w:r>
        <w:rPr>
          <w:lang w:val="en-GB"/>
        </w:rPr>
        <w:t>What we do page</w:t>
      </w:r>
    </w:p>
    <w:p w14:paraId="39FD0467" w14:textId="3A9EA61B" w:rsidR="009F0E23" w:rsidRDefault="009F0E23" w:rsidP="009F0E23">
      <w:pPr>
        <w:rPr>
          <w:lang w:val="en-GB"/>
        </w:rPr>
      </w:pPr>
    </w:p>
    <w:p w14:paraId="4BAD0462" w14:textId="22FB4771" w:rsidR="00081728" w:rsidRDefault="009F0E23" w:rsidP="009F0E23">
      <w:pPr>
        <w:rPr>
          <w:lang w:val="en-GB"/>
        </w:rPr>
      </w:pPr>
      <w:r>
        <w:rPr>
          <w:lang w:val="en-GB"/>
        </w:rPr>
        <w:t>My idea: can each service have its own page</w:t>
      </w:r>
      <w:r w:rsidR="000A4CA4">
        <w:rPr>
          <w:lang w:val="en-GB"/>
        </w:rPr>
        <w:t>?</w:t>
      </w:r>
      <w:r>
        <w:rPr>
          <w:lang w:val="en-GB"/>
        </w:rPr>
        <w:t xml:space="preserve"> On the strip above, once the cursor comes to the “what we do” section, </w:t>
      </w:r>
      <w:r w:rsidR="000A4CA4">
        <w:rPr>
          <w:lang w:val="en-GB"/>
        </w:rPr>
        <w:t>could</w:t>
      </w:r>
      <w:r>
        <w:rPr>
          <w:lang w:val="en-GB"/>
        </w:rPr>
        <w:t xml:space="preserve"> we get a drop-down menu with all our solutions and the client can click to whichever solution they feel fits. On the drop down, the last choice after all listed solutions can be what you designed- “Not sure what fits…” button</w:t>
      </w:r>
      <w:r w:rsidR="000A4CA4">
        <w:rPr>
          <w:lang w:val="en-GB"/>
        </w:rPr>
        <w:t xml:space="preserve"> (Kantar presents a good example to copy by their button “solutions”)</w:t>
      </w:r>
    </w:p>
    <w:p w14:paraId="1CF08847" w14:textId="52A8D78B" w:rsidR="006E2F4E" w:rsidRDefault="006E2F4E" w:rsidP="009F0E23">
      <w:pPr>
        <w:rPr>
          <w:lang w:val="en-GB"/>
        </w:rPr>
      </w:pPr>
    </w:p>
    <w:p w14:paraId="3261E1D6" w14:textId="6A70DF5C" w:rsidR="006E2F4E" w:rsidRDefault="006E2F4E" w:rsidP="009F0E23">
      <w:pPr>
        <w:rPr>
          <w:lang w:val="en-GB"/>
        </w:rPr>
      </w:pPr>
      <w:r>
        <w:rPr>
          <w:lang w:val="en-GB"/>
        </w:rPr>
        <w:lastRenderedPageBreak/>
        <w:t xml:space="preserve">Or alternatively, to have all the five services in one page as ‘cards’ in a column format and each has a ‘read more’ button that then directs them to the dedicated service pages. I leave the overall verdict </w:t>
      </w:r>
      <w:proofErr w:type="spellStart"/>
      <w:r>
        <w:rPr>
          <w:lang w:val="en-GB"/>
        </w:rPr>
        <w:t>upto</w:t>
      </w:r>
      <w:proofErr w:type="spellEnd"/>
      <w:r>
        <w:rPr>
          <w:lang w:val="en-GB"/>
        </w:rPr>
        <w:t xml:space="preserve"> you. </w:t>
      </w:r>
    </w:p>
    <w:p w14:paraId="729DD9B7" w14:textId="55008F7D" w:rsidR="006E2F4E" w:rsidRDefault="006E2F4E" w:rsidP="009F0E23">
      <w:pPr>
        <w:rPr>
          <w:lang w:val="en-GB"/>
        </w:rPr>
      </w:pPr>
    </w:p>
    <w:p w14:paraId="118DA493" w14:textId="3053C2C9" w:rsidR="006E2F4E" w:rsidRDefault="006E2F4E" w:rsidP="009F0E23">
      <w:pPr>
        <w:rPr>
          <w:lang w:val="en-GB"/>
        </w:rPr>
      </w:pPr>
      <w:r>
        <w:rPr>
          <w:lang w:val="en-GB"/>
        </w:rPr>
        <w:t>I’</w:t>
      </w:r>
      <w:bookmarkStart w:id="0" w:name="_GoBack"/>
      <w:bookmarkEnd w:id="0"/>
      <w:r>
        <w:rPr>
          <w:lang w:val="en-GB"/>
        </w:rPr>
        <w:t>m working on the service specific copy for each service, to be able to share by tomorrow.</w:t>
      </w:r>
    </w:p>
    <w:p w14:paraId="2AF6441B" w14:textId="77777777" w:rsidR="00081728" w:rsidRDefault="00081728" w:rsidP="009F0E23">
      <w:pPr>
        <w:rPr>
          <w:lang w:val="en-GB"/>
        </w:rPr>
      </w:pPr>
    </w:p>
    <w:p w14:paraId="7B486907" w14:textId="23F22C34" w:rsidR="009F0E23" w:rsidRDefault="009F0E23" w:rsidP="009F0E23">
      <w:pPr>
        <w:rPr>
          <w:lang w:val="en-GB"/>
        </w:rPr>
      </w:pPr>
    </w:p>
    <w:p w14:paraId="1C9687B5" w14:textId="77777777" w:rsidR="009F0E23" w:rsidRPr="009F0E23" w:rsidRDefault="009F0E23" w:rsidP="009F0E23">
      <w:pPr>
        <w:rPr>
          <w:lang w:val="en-GB"/>
        </w:rPr>
      </w:pPr>
    </w:p>
    <w:sectPr w:rsidR="009F0E23" w:rsidRPr="009F0E23" w:rsidSect="00D105F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811696"/>
    <w:multiLevelType w:val="hybridMultilevel"/>
    <w:tmpl w:val="9BD0F8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824EB8"/>
    <w:multiLevelType w:val="hybridMultilevel"/>
    <w:tmpl w:val="39BC56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1D"/>
    <w:rsid w:val="00081728"/>
    <w:rsid w:val="000A4CA4"/>
    <w:rsid w:val="00596E73"/>
    <w:rsid w:val="00637BA2"/>
    <w:rsid w:val="006E2F4E"/>
    <w:rsid w:val="009F0E23"/>
    <w:rsid w:val="00A85D1D"/>
    <w:rsid w:val="00CA3155"/>
    <w:rsid w:val="00CF22CF"/>
    <w:rsid w:val="00D105FB"/>
    <w:rsid w:val="00FF7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52B1638"/>
  <w15:chartTrackingRefBased/>
  <w15:docId w15:val="{0C3BDAFE-773C-E248-8BD6-98779D1F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E2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315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E2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37BA2"/>
    <w:pPr>
      <w:ind w:left="720"/>
      <w:contextualSpacing/>
    </w:pPr>
  </w:style>
  <w:style w:type="character" w:styleId="Strong">
    <w:name w:val="Strong"/>
    <w:basedOn w:val="DefaultParagraphFont"/>
    <w:uiPriority w:val="22"/>
    <w:qFormat/>
    <w:rsid w:val="00CF22CF"/>
    <w:rPr>
      <w:b/>
      <w:bCs/>
    </w:rPr>
  </w:style>
  <w:style w:type="character" w:customStyle="1" w:styleId="Heading2Char">
    <w:name w:val="Heading 2 Char"/>
    <w:basedOn w:val="DefaultParagraphFont"/>
    <w:link w:val="Heading2"/>
    <w:uiPriority w:val="9"/>
    <w:rsid w:val="00CA315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2501783">
      <w:bodyDiv w:val="1"/>
      <w:marLeft w:val="0"/>
      <w:marRight w:val="0"/>
      <w:marTop w:val="0"/>
      <w:marBottom w:val="0"/>
      <w:divBdr>
        <w:top w:val="none" w:sz="0" w:space="0" w:color="auto"/>
        <w:left w:val="none" w:sz="0" w:space="0" w:color="auto"/>
        <w:bottom w:val="none" w:sz="0" w:space="0" w:color="auto"/>
        <w:right w:val="none" w:sz="0" w:space="0" w:color="auto"/>
      </w:divBdr>
    </w:div>
    <w:div w:id="189261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Branham Samuel</dc:creator>
  <cp:keywords/>
  <dc:description/>
  <cp:lastModifiedBy>Branham Samuel</cp:lastModifiedBy>
  <cp:revision>3</cp:revision>
  <dcterms:created xsi:type="dcterms:W3CDTF">2026-10-13T12:43:00Z</dcterms:created>
  <dcterms:modified xsi:type="dcterms:W3CDTF">2026-10-13T15:15:00Z</dcterms:modified>
</cp:coreProperties>
</file>