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b/>
          <w:color w:val="1B5E20"/>
          <w:sz w:val="48"/>
        </w:rPr>
        <w:t>CROPGUARD AI</w:t>
        <w:br/>
      </w:r>
      <w:r>
        <w:rPr>
          <w:b/>
          <w:color w:val="388E3C"/>
          <w:sz w:val="26"/>
        </w:rPr>
        <w:t>Supervisor Conversation &amp; Project Defense Preparation Guide</w:t>
        <w:br/>
      </w:r>
      <w:r>
        <w:rPr>
          <w:i/>
          <w:color w:val="546E7A"/>
          <w:sz w:val="20"/>
        </w:rPr>
        <w:t>Spoken Talk-Track | Ground-Truth Audit Alignment | Technical Defense Strategy</w:t>
        <w:br/>
      </w:r>
    </w:p>
    <w:p>
      <w:pPr>
        <w:jc w:val="center"/>
      </w:pPr>
      <w:r>
        <w:rPr>
          <w:color w:val="81C784"/>
        </w:rPr>
        <w:t>――――――――――――――――――――――――――――――――――――――――</w:t>
      </w:r>
    </w:p>
    <w:tbl>
      <w:tblPr>
        <w:tblW w:type="auto" w:w="0"/>
        <w:jc w:val="center"/>
        <w:tblLook w:firstColumn="1" w:firstRow="1" w:lastColumn="0" w:lastRow="0" w:noHBand="0" w:noVBand="1" w:val="04A0"/>
      </w:tblPr>
      <w:tblGrid>
        <w:gridCol w:w="9360"/>
      </w:tblGrid>
      <w:tr>
        <w:tc>
          <w:tcPr>
            <w:tcW w:type="dxa" w:w="9360"/>
            <w:shd w:fill="F1F8E9"/>
            <w:tcMar>
              <w:top w:w="140" w:type="dxa"/>
              <w:bottom w:w="140" w:type="dxa"/>
              <w:left w:w="180" w:type="dxa"/>
              <w:right w:w="180" w:type="dxa"/>
            </w:tcMar>
            <w:tcBorders>
              <w:left w:val="single" w:sz="24" w:space="0" w:color="2E7D32"/>
              <w:top w:val="none"/>
              <w:right w:val="none"/>
              <w:bottom w:val="none"/>
            </w:tcBorders>
          </w:tcPr>
          <w:p>
            <w:pPr>
              <w:spacing w:before="40" w:after="40"/>
            </w:pPr>
            <w:r>
              <w:rPr>
                <w:b/>
                <w:color w:val="1B5E20"/>
                <w:sz w:val="20"/>
              </w:rPr>
              <w:t>[DEFENSE GROUND RULES &amp; AUDIT ALIGNMENT]</w:t>
              <w:br/>
            </w:r>
            <w:r>
              <w:rPr>
                <w:color w:val="37474F"/>
                <w:sz w:val="19"/>
              </w:rPr>
              <w:t>Every technical claim, accuracy metric, and limitation in this guide is strictly cross-checked against CROPGUARD_MASTER_AUDIT.md. Use this material to internalize the rationale behind each architectural decision, enabling you to speak naturally, accurately, and confidently during project defense without memorizing scripts.</w:t>
            </w:r>
          </w:p>
        </w:tc>
      </w:tr>
    </w:tbl>
    <w:p/>
    <w:p>
      <w:pPr>
        <w:pStyle w:val="Heading1"/>
        <w:spacing w:before="320" w:after="100"/>
      </w:pPr>
      <w:r>
        <w:rPr>
          <w:b/>
          <w:color w:val="1B5E20"/>
          <w:sz w:val="32"/>
        </w:rPr>
        <w:t>1. The 60-Second Version (The Opening Statement)</w:t>
      </w:r>
    </w:p>
    <w:p>
      <w:r>
        <w:t>When your supervisor or examiner asks: 'So, Kwame, what did you build in this project?', deliver this concise, balanced response:</w:t>
      </w:r>
    </w:p>
    <w:tbl>
      <w:tblPr>
        <w:tblW w:type="auto" w:w="0"/>
        <w:jc w:val="center"/>
        <w:tblLook w:firstColumn="1" w:firstRow="1" w:lastColumn="0" w:lastRow="0" w:noHBand="0" w:noVBand="1" w:val="04A0"/>
      </w:tblPr>
      <w:tblGrid>
        <w:gridCol w:w="9360"/>
      </w:tblGrid>
      <w:tr>
        <w:tc>
          <w:tcPr>
            <w:tcW w:type="dxa" w:w="9360"/>
            <w:shd w:fill="FAFAFA"/>
            <w:tcMar>
              <w:top w:w="120" w:type="dxa"/>
              <w:bottom w:w="120" w:type="dxa"/>
              <w:left w:w="160" w:type="dxa"/>
              <w:right w:w="160" w:type="dxa"/>
            </w:tcMar>
            <w:tcBorders>
              <w:left w:val="single" w:sz="20" w:space="0" w:color="1565C0"/>
              <w:top w:val="none"/>
              <w:right w:val="none"/>
              <w:bottom w:val="none"/>
            </w:tcBorders>
          </w:tcPr>
          <w:p>
            <w:pPr>
              <w:spacing w:before="40" w:after="40"/>
            </w:pPr>
            <w:r>
              <w:rPr>
                <w:b/>
                <w:color w:val="0D47A1"/>
                <w:sz w:val="19"/>
              </w:rPr>
              <w:t>60-SECOND OPENING PITCH:</w:t>
              <w:br/>
            </w:r>
            <w:r>
              <w:rPr>
                <w:i/>
                <w:color w:val="212121"/>
                <w:sz w:val="20"/>
              </w:rPr>
              <w:t>"I built CropGuard AI, an offline-first mobile application designed to help smallholder farmers in Ghana diagnose crop leaf diseases and receive localized treatment advice. The app uses an on-device TensorFlow Lite model for sub-second offline plant disease classification, backed by Google Gemini 1.5 Flash in the cloud for secondary verification when confidence is low. To solve literacy and language barriers in rural areas, I integrated native Ghanaian language voice dictation and text-to-speech audio advisory in Twi, Ewe, and Dagbani using Khaya AI.</w:t>
              <w:br/>
              <w:br/>
              <w:t>Right now, the project is a fully functional working prototype with complete end-to-end integration across diagnosis, vernacular voice feedback, offline synchronization, and spatial outbreak mapping—though on-device model accuracy still sits below our target release threshold, requiring our hybrid cloud and extension officer verification fallback."</w:t>
            </w:r>
          </w:p>
        </w:tc>
      </w:tr>
    </w:tbl>
    <w:p/>
    <w:p>
      <w:pPr>
        <w:pStyle w:val="Heading1"/>
        <w:spacing w:before="320" w:after="100"/>
      </w:pPr>
      <w:r>
        <w:rPr>
          <w:b/>
          <w:color w:val="1B5E20"/>
          <w:sz w:val="32"/>
        </w:rPr>
        <w:t>2. Architecture Walkthrough (2–3 Minutes Spoken Guide)</w:t>
      </w:r>
    </w:p>
    <w:p>
      <w:r>
        <w:t>Explain the system by following the data path when a farmer scans a leaf, from initial capture to cloud synchronization:</w:t>
      </w:r>
    </w:p>
    <w:p>
      <w:pPr>
        <w:pStyle w:val="Heading2"/>
        <w:spacing w:before="220" w:after="60"/>
      </w:pPr>
      <w:r>
        <w:rPr>
          <w:b/>
          <w:color w:val="2E7D32"/>
          <w:sz w:val="25"/>
        </w:rPr>
        <w:t>Step 1: Image Capture &amp; Quality Gate (UI Layer)</w:t>
      </w:r>
    </w:p>
    <w:p>
      <w:r>
        <w:t>When a farmer captures a leaf photo, the Flutter UI doesn't pass it blindly to the neural network. First, ImageQualityAnalyzer evaluates Laplacian variance for blur and luminance histograms for lighting. If the photo is blurry or dark, it immediately prompts the farmer to retake it.</w:t>
      </w:r>
    </w:p>
    <w:p>
      <w:pPr>
        <w:pStyle w:val="Heading2"/>
        <w:spacing w:before="220" w:after="60"/>
      </w:pPr>
      <w:r>
        <w:rPr>
          <w:b/>
          <w:color w:val="2E7D32"/>
          <w:sz w:val="25"/>
        </w:rPr>
        <w:t>Step 2: On-Device Edge Inference (ML Layer)</w:t>
      </w:r>
    </w:p>
    <w:p>
      <w:r>
        <w:t>If the image passes the quality check, it's normalized to [-1, 1] and resized to 224x224 before feeding into our on-device TensorFlow Lite interpreter running MobileNetV2. Because the 14.8 MB quantized model runs locally on the mobile CPU, classification takes under 120ms with zero data cost.</w:t>
      </w:r>
    </w:p>
    <w:p>
      <w:pPr>
        <w:pStyle w:val="Heading2"/>
        <w:spacing w:before="220" w:after="60"/>
      </w:pPr>
      <w:r>
        <w:rPr>
          <w:b/>
          <w:color w:val="2E7D32"/>
          <w:sz w:val="25"/>
        </w:rPr>
        <w:t>Step 3: Confidence Gating &amp; Hybrid Cloud Fallback (Logic Layer)</w:t>
      </w:r>
    </w:p>
    <w:p>
      <w:r>
        <w:t>Our ScannerProvider checks the top prediction confidence score. If confidence is high, it displays the disease name, symptoms, and organic/chemical treatment plans immediately. If confidence falls below 60%, the app triggers our low-confidence flow, displaying an advisory and offering an optional Cloud AI second opinion. When tapped, our Firebase Cloud Function proxy queries Google Gemini 1.5 Flash to analyze the photo and return detailed diagnostic reasoning.</w:t>
      </w:r>
    </w:p>
    <w:p>
      <w:pPr>
        <w:pStyle w:val="Heading2"/>
        <w:spacing w:before="220" w:after="60"/>
      </w:pPr>
      <w:r>
        <w:rPr>
          <w:b/>
          <w:color w:val="2E7D32"/>
          <w:sz w:val="25"/>
        </w:rPr>
        <w:t>Step 4: Vernacular Voice Feedback (Accessibility Layer)</w:t>
      </w:r>
    </w:p>
    <w:p>
      <w:r>
        <w:t>To empower non-literate farmers, tapping the speaker icon calls GhanaNlpService, which proxies Khaya AI TTS v2 to synthesize the diagnosis and remedies into natural spoken Twi, Ewe, or Dagbani. The audio is cached on disk (tts_${hash}_${lang}.wav) so subsequent listening works offline.</w:t>
      </w:r>
    </w:p>
    <w:p>
      <w:pPr>
        <w:pStyle w:val="Heading2"/>
        <w:spacing w:before="220" w:after="60"/>
      </w:pPr>
      <w:r>
        <w:rPr>
          <w:b/>
          <w:color w:val="2E7D32"/>
          <w:sz w:val="25"/>
        </w:rPr>
        <w:t>Step 5: Local Storage &amp; Background Synchronization (Persistence Layer)</w:t>
      </w:r>
    </w:p>
    <w:p>
      <w:r>
        <w:t>Finally, the scan record is committed immediately to SQLite (is_synced = 0) and queued in the SQLite pending_sync table. Once ConnectivityService detects network restoration, our background WorkManager worker automatically flushes the queue to Cloud Firestore, updating our regional outbreak map.</w:t>
      </w:r>
    </w:p>
    <w:p>
      <w:pPr>
        <w:pStyle w:val="Heading1"/>
        <w:spacing w:before="320" w:after="100"/>
      </w:pPr>
      <w:r>
        <w:rPr>
          <w:b/>
          <w:color w:val="1B5E20"/>
          <w:sz w:val="32"/>
        </w:rPr>
        <w:t>3. Key Engineering Decisions &amp; Technical Rationale</w:t>
      </w:r>
    </w:p>
    <w:p>
      <w:r>
        <w:t>These five engineering decisions demonstrate deep understanding of real-world agricultural constraints:</w:t>
      </w:r>
    </w:p>
    <w:p>
      <w:pPr>
        <w:pStyle w:val="Heading2"/>
        <w:spacing w:before="220" w:after="60"/>
      </w:pPr>
      <w:r>
        <w:rPr>
          <w:b/>
          <w:color w:val="2E7D32"/>
          <w:sz w:val="25"/>
        </w:rPr>
        <w:t>Decision 1: 3-Tier Edge-Hybrid Architecture over Pure Cloud AI</w:t>
      </w:r>
    </w:p>
    <w:p>
      <w:r>
        <w:t>What was decided: Core classification runs on-device via TensorFlow Lite, while secondary opinions use cloud-hosted Google Gemini 1.5 Flash.</w:t>
        <w:br/>
        <w:t>The real reason: Rural Ghanaian farms often have zero cellular reception. A pure cloud app fails completely in the field. Placing MobileNetV2 on-device guarantees instant, data-free offline diagnosis, while keeping cloud AI as an authenticated second opinion.</w:t>
      </w:r>
    </w:p>
    <w:p>
      <w:pPr>
        <w:pStyle w:val="Heading2"/>
        <w:spacing w:before="220" w:after="60"/>
      </w:pPr>
      <w:r>
        <w:rPr>
          <w:b/>
          <w:color w:val="2E7D32"/>
          <w:sz w:val="25"/>
        </w:rPr>
        <w:t>Decision 2: Zero-Secret Client Architecture (Serverless Proxy Layer)</w:t>
      </w:r>
    </w:p>
    <w:p>
      <w:r>
        <w:t>What was decided: Third-party API keys (GHANA_NLP_SUBSCRIPTION_KEY, GEMINI_API_KEY) are completely excluded from the mobile APK and stored in GCP Secret Manager, accessible only via Firebase Cloud Functions v2.</w:t>
        <w:br/>
        <w:t>The real reason: API keys embedded in mobile binaries can be decompiled via JADX. Routing external calls through authenticated Cloud Functions protects credentials, enforces App Check, and verifies Firebase Auth JWT tokens on every request.</w:t>
      </w:r>
    </w:p>
    <w:p>
      <w:pPr>
        <w:pStyle w:val="Heading2"/>
        <w:spacing w:before="220" w:after="60"/>
      </w:pPr>
      <w:r>
        <w:rPr>
          <w:b/>
          <w:color w:val="2E7D32"/>
          <w:sz w:val="25"/>
        </w:rPr>
        <w:t>Decision 3: Mandatory Confidence Gating (Threshold = 0.60)</w:t>
      </w:r>
    </w:p>
    <w:p>
      <w:r>
        <w:t>What was decided: Predictions below 60% confidence are flagged as low-confidence rather than presented as definitive diagnoses.</w:t>
        <w:br/>
        <w:t>The real reason: In agriculture, a false diagnosis causes farmers to apply wrong agrochemicals, destroying crops and poisoning soil. Confidence gating acts as a safety barrier, preventing low-certainty predictions from triggering incorrect chemical treatments.</w:t>
      </w:r>
    </w:p>
    <w:p>
      <w:pPr>
        <w:pStyle w:val="Heading2"/>
        <w:spacing w:before="220" w:after="60"/>
      </w:pPr>
      <w:r>
        <w:rPr>
          <w:b/>
          <w:color w:val="2E7D32"/>
          <w:sz w:val="25"/>
        </w:rPr>
        <w:t>Decision 4: Local SQLite + FIFO Pending Sync Queue for Offline-First Data</w:t>
      </w:r>
    </w:p>
    <w:p>
      <w:r>
        <w:t>What was decided: Scans and treatments are committed immediately to local SQLite tables (detections, treatment_records) and queued in pending_sync for background upload.</w:t>
        <w:br/>
        <w:t>The real reason: Direct network writes fail unpredictably under intermittent connectivity. Local SQLite ensures instantaneous UI responsiveness, while the persistent FIFO sync queue handles network reconnect drains seamlessly with exponential backoff.</w:t>
      </w:r>
    </w:p>
    <w:p>
      <w:pPr>
        <w:pStyle w:val="Heading2"/>
        <w:spacing w:before="220" w:after="60"/>
      </w:pPr>
      <w:r>
        <w:rPr>
          <w:b/>
          <w:color w:val="2E7D32"/>
          <w:sz w:val="25"/>
        </w:rPr>
        <w:t>Decision 5: Honest Out-of-Domain (OOD) Scoping &amp; In-Engine Filtering</w:t>
      </w:r>
    </w:p>
    <w:p>
      <w:r>
        <w:t>What was decided: Rather than bundling a heavy standalone binary classifier for leaf vs. non-leaf detection, OOD filtering relies on green-ratio heuristics (greenRatio &lt; 0.05) and confidence spread checks, supported by UI advisories.</w:t>
        <w:br/>
        <w:t>The real reason: Bundling a separate standalone OOD neural model would substantially inflate app binary size and memory footprint. We opted for lightweight in-engine heuristics and clear UI advisories on low-confidence screens to warn users against scanning non-foliar objects.</w:t>
      </w:r>
    </w:p>
    <w:p>
      <w:pPr>
        <w:pStyle w:val="Heading2"/>
        <w:spacing w:before="220" w:after="60"/>
      </w:pPr>
      <w:r>
        <w:rPr>
          <w:b/>
          <w:color w:val="2E7D32"/>
          <w:sz w:val="25"/>
        </w:rPr>
        <w:t>Decision 6: Centralized Language Registry &amp; API Version Locking</w:t>
      </w:r>
    </w:p>
    <w:p>
      <w:r>
        <w:t>What was decided: All Ghanaian language configurations (Twi, Ewe, Dagbani) and API versions (ASR v3, TTS v2, Translation v2) are defined in a single centralized registry file (khaya_language_config.dart).</w:t>
        <w:br/>
        <w:t>The real reason: External NLP services frequently update endpoints and speaker IDs. Centralizing language codes, speaker IDs (twi_speaker_4, ewe_speaker_1, dagbani_speaker_1), and endpoint paths ensures that future migrations require modifying a single file rather than hunting through scattered UI components.</w:t>
      </w:r>
    </w:p>
    <w:p>
      <w:pPr>
        <w:pStyle w:val="Heading1"/>
        <w:spacing w:before="320" w:after="100"/>
      </w:pPr>
      <w:r>
        <w:rPr>
          <w:b/>
          <w:color w:val="1B5E20"/>
          <w:sz w:val="32"/>
        </w:rPr>
        <w:t>4. Known Limitations (Stated Honestly and Professionally)</w:t>
      </w:r>
    </w:p>
    <w:p>
      <w:r>
        <w:t>Deliver these three major open limitations with clarity and confidence (What was found, Why it occurred, What is being done about it):</w:t>
      </w:r>
    </w:p>
    <w:p>
      <w:pPr>
        <w:pStyle w:val="Heading2"/>
        <w:spacing w:before="220" w:after="60"/>
      </w:pPr>
      <w:r>
        <w:rPr>
          <w:b/>
          <w:color w:val="2E7D32"/>
          <w:sz w:val="25"/>
        </w:rPr>
        <w:t>Limitation 1: Model Field Accuracy Below Production Floor</w:t>
      </w:r>
    </w:p>
    <w:p>
      <w:r>
        <w:t>• Here's what I found: On our strictly held-out foliar evaluation benchmark, our on-device model achieves a Top-1 accuracy of 16.67% and a Top-3 accuracy of 45.83% across 22 classes (validation accuracy is 63.92%). Both metrics fall below our targeted 70.0% production release floor. Near-miss errors occur between visually similar symptoms on the same crop (e.g., Rice Leaf Scald vs. Rice Sheath Blight).</w:t>
        <w:br/>
        <w:t>• Here's why: The model was trained primarily on standardized plant leaf datasets that do not fully capture complex field conditions such as leaf shadowing, background soil noise, and multiple co-occurring nutrient deficiencies.</w:t>
        <w:br/>
        <w:t>• Here's what I'm doing about it: I implemented a multi-tier safety net: mandatory low-confidence gating (threshold = 0.60), Google Gemini 1.5 Flash visual cloud audits for uncertain scans, and built-in escalation paths to certified Agricultural Extension Officers.</w:t>
      </w:r>
    </w:p>
    <w:p>
      <w:pPr>
        <w:pStyle w:val="Heading2"/>
        <w:spacing w:before="220" w:after="60"/>
      </w:pPr>
      <w:r>
        <w:rPr>
          <w:b/>
          <w:color w:val="2E7D32"/>
          <w:sz w:val="25"/>
        </w:rPr>
        <w:t>Limitation 2: Out-of-Domain (OOD) Non-Plant Classification Risk</w:t>
      </w:r>
    </w:p>
    <w:p>
      <w:r>
        <w:t>• Here's what I found: If a user scans a non-plant object (e.g., a shoe, furniture, or human hand), the model may still assign it to one of the 51 crop disease classes with moderate confidence.</w:t>
        <w:br/>
        <w:t>• Here's why: We do not currently include a dedicated binary non-leaf vs. leaf classifier model due to binary size constraints. Our current filter relies on pixel green-ratio heuristics (greenRatio &lt; 0.05) and confidence spread checks, which can be bypassed by green non-plant objects.</w:t>
        <w:br/>
        <w:t>• Here's what I'm doing about it: I added explicit user advisories on the diagnosis and low-confidence screens warning farmers to scan only clear individual crop leaves, while scoping the addition of a lightweight binary leaf-presence model for future releases.</w:t>
      </w:r>
    </w:p>
    <w:p>
      <w:pPr>
        <w:pStyle w:val="Heading2"/>
        <w:spacing w:before="220" w:after="60"/>
      </w:pPr>
      <w:r>
        <w:rPr>
          <w:b/>
          <w:color w:val="2E7D32"/>
          <w:sz w:val="25"/>
        </w:rPr>
        <w:t>Limitation 3: Historical Sync Duplication Pattern (Now Patched)</w:t>
      </w:r>
    </w:p>
    <w:p>
      <w:r>
        <w:t>• Here's what I found: In earlier iterations of the sync pipeline, online scans triggered both an instant .add() Firestore document write and a subsequent background sync task, resulting in duplicate records in Firestore.</w:t>
        <w:br/>
        <w:t>• Here's why: The immediate scan use case called an auto-id insert instead of deterministic document upserting (upsertScan).</w:t>
        <w:br/>
        <w:t>• Here's what I'm doing about it: I patched the repository layer to use deterministic document IDs (savedDetection.id) across both online and offline code paths, ensuring idempotent upserts and preventing duplicate document creation during network recovery.</w:t>
      </w:r>
    </w:p>
    <w:p>
      <w:pPr>
        <w:pStyle w:val="Heading1"/>
        <w:spacing w:before="320" w:after="100"/>
      </w:pPr>
      <w:r>
        <w:rPr>
          <w:b/>
          <w:color w:val="1B5E20"/>
          <w:sz w:val="32"/>
        </w:rPr>
        <w:t>5. Anticipated Defense Questions &amp; Model Answers</w:t>
      </w:r>
    </w:p>
    <w:p>
      <w:r>
        <w:t>Study these exact spoken responses for technical, agronomic, and critical questions:</w:t>
      </w:r>
    </w:p>
    <w:p>
      <w:pPr>
        <w:pStyle w:val="Heading2"/>
        <w:spacing w:before="220" w:after="60"/>
      </w:pPr>
      <w:r>
        <w:rPr>
          <w:b/>
          <w:color w:val="2E7D32"/>
          <w:sz w:val="25"/>
        </w:rPr>
        <w:t>Q1: Why is your on-device model accuracy lower on field benchmark images than on training validation?</w:t>
      </w:r>
    </w:p>
    <w:tbl>
      <w:tblPr>
        <w:tblW w:type="auto" w:w="0"/>
        <w:jc w:val="center"/>
        <w:tblLook w:firstColumn="1" w:firstRow="1" w:lastColumn="0" w:lastRow="0" w:noHBand="0" w:noVBand="1" w:val="04A0"/>
      </w:tblPr>
      <w:tblGrid>
        <w:gridCol w:w="9360"/>
      </w:tblGrid>
      <w:tr>
        <w:tc>
          <w:tcPr>
            <w:tcW w:type="dxa" w:w="9360"/>
            <w:shd w:fill="FAFAFA"/>
            <w:tcMar>
              <w:top w:w="120" w:type="dxa"/>
              <w:bottom w:w="120" w:type="dxa"/>
              <w:left w:w="160" w:type="dxa"/>
              <w:right w:w="160" w:type="dxa"/>
            </w:tcMar>
            <w:tcBorders>
              <w:left w:val="single" w:sz="20" w:space="0" w:color="1565C0"/>
              <w:top w:val="none"/>
              <w:right w:val="none"/>
              <w:bottom w:val="none"/>
            </w:tcBorders>
          </w:tcPr>
          <w:p>
            <w:pPr>
              <w:spacing w:before="40" w:after="40"/>
            </w:pPr>
            <w:r>
              <w:rPr>
                <w:b/>
                <w:color w:val="0D47A1"/>
                <w:sz w:val="19"/>
              </w:rPr>
              <w:t>RECOMMENDED SPOKEN ANSWER:</w:t>
              <w:br/>
            </w:r>
            <w:r>
              <w:rPr>
                <w:i/>
                <w:color w:val="212121"/>
                <w:sz w:val="20"/>
              </w:rPr>
              <w:t>"That is a common challenge in agricultural computer vision known as the domain shift problem. Training datasets like PlantVillage feature leaves photographed against uniform, clean backgrounds under artificial lighting. Field images from real Ghanaian farms contain background soil, complex leaf overlapping, shadows, and varying sunlight. While our model achieved ~63.9% validation accuracy on split data, field benchmark performance drops due to these environmental variables. This is exactly why we engineered our low-confidence safety gate and Gemini cloud fallback system."</w:t>
            </w:r>
          </w:p>
        </w:tc>
      </w:tr>
    </w:tbl>
    <w:p/>
    <w:p>
      <w:pPr>
        <w:pStyle w:val="Heading2"/>
        <w:spacing w:before="220" w:after="60"/>
      </w:pPr>
      <w:r>
        <w:rPr>
          <w:b/>
          <w:color w:val="2E7D32"/>
          <w:sz w:val="25"/>
        </w:rPr>
        <w:t>Q2: What happens if a farmer uses the app completely offline in a remote village?</w:t>
      </w:r>
    </w:p>
    <w:tbl>
      <w:tblPr>
        <w:tblW w:type="auto" w:w="0"/>
        <w:jc w:val="center"/>
        <w:tblLook w:firstColumn="1" w:firstRow="1" w:lastColumn="0" w:lastRow="0" w:noHBand="0" w:noVBand="1" w:val="04A0"/>
      </w:tblPr>
      <w:tblGrid>
        <w:gridCol w:w="9360"/>
      </w:tblGrid>
      <w:tr>
        <w:tc>
          <w:tcPr>
            <w:tcW w:type="dxa" w:w="9360"/>
            <w:shd w:fill="FAFAFA"/>
            <w:tcMar>
              <w:top w:w="120" w:type="dxa"/>
              <w:bottom w:w="120" w:type="dxa"/>
              <w:left w:w="160" w:type="dxa"/>
              <w:right w:w="160" w:type="dxa"/>
            </w:tcMar>
            <w:tcBorders>
              <w:left w:val="single" w:sz="20" w:space="0" w:color="1565C0"/>
              <w:top w:val="none"/>
              <w:right w:val="none"/>
              <w:bottom w:val="none"/>
            </w:tcBorders>
          </w:tcPr>
          <w:p>
            <w:pPr>
              <w:spacing w:before="40" w:after="40"/>
            </w:pPr>
            <w:r>
              <w:rPr>
                <w:b/>
                <w:color w:val="0D47A1"/>
                <w:sz w:val="19"/>
              </w:rPr>
              <w:t>RECOMMENDED SPOKEN ANSWER:</w:t>
              <w:br/>
            </w:r>
            <w:r>
              <w:rPr>
                <w:i/>
                <w:color w:val="212121"/>
                <w:sz w:val="20"/>
              </w:rPr>
              <w:t>"The app is designed to be fully functional offline. The MobileNetV2 model runs on-device via TensorFlow Lite, delivering instant diagnosis without internet. Treatment plans, organic remedies, and SQLite persistence all work locally. Text-to-speech audio that was previously generated or synthesized is cached on disk. Any new scans or treatment updates are placed into our SQLite pending_sync queue and automatically uploaded to Firestore when the farmer returns to an area with connectivity."</w:t>
            </w:r>
          </w:p>
        </w:tc>
      </w:tr>
    </w:tbl>
    <w:p/>
    <w:p>
      <w:pPr>
        <w:pStyle w:val="Heading2"/>
        <w:spacing w:before="220" w:after="60"/>
      </w:pPr>
      <w:r>
        <w:rPr>
          <w:b/>
          <w:color w:val="2E7D32"/>
          <w:sz w:val="25"/>
        </w:rPr>
        <w:t>Q3: How do you handle security and prevent people from stealing your API keys?</w:t>
      </w:r>
    </w:p>
    <w:tbl>
      <w:tblPr>
        <w:tblW w:type="auto" w:w="0"/>
        <w:jc w:val="center"/>
        <w:tblLook w:firstColumn="1" w:firstRow="1" w:lastColumn="0" w:lastRow="0" w:noHBand="0" w:noVBand="1" w:val="04A0"/>
      </w:tblPr>
      <w:tblGrid>
        <w:gridCol w:w="9360"/>
      </w:tblGrid>
      <w:tr>
        <w:tc>
          <w:tcPr>
            <w:tcW w:type="dxa" w:w="9360"/>
            <w:shd w:fill="FAFAFA"/>
            <w:tcMar>
              <w:top w:w="120" w:type="dxa"/>
              <w:bottom w:w="120" w:type="dxa"/>
              <w:left w:w="160" w:type="dxa"/>
              <w:right w:w="160" w:type="dxa"/>
            </w:tcMar>
            <w:tcBorders>
              <w:left w:val="single" w:sz="20" w:space="0" w:color="1565C0"/>
              <w:top w:val="none"/>
              <w:right w:val="none"/>
              <w:bottom w:val="none"/>
            </w:tcBorders>
          </w:tcPr>
          <w:p>
            <w:pPr>
              <w:spacing w:before="40" w:after="40"/>
            </w:pPr>
            <w:r>
              <w:rPr>
                <w:b/>
                <w:color w:val="0D47A1"/>
                <w:sz w:val="19"/>
              </w:rPr>
              <w:t>RECOMMENDED SPOKEN ANSWER:</w:t>
              <w:br/>
            </w:r>
            <w:r>
              <w:rPr>
                <w:i/>
                <w:color w:val="212121"/>
                <w:sz w:val="20"/>
              </w:rPr>
              <w:t>"We follow a Zero-Secret client architecture. No third-party API keys exist in the Flutter codebase or the compiled APK. All calls to Gemini Cloud AI or Khaya AI are routed through serverless Firebase Cloud Functions v2. The mobile app authenticates with the backend using Firebase Auth JWT tokens. The Cloud Functions retrieve the master keys directly from GCP Secret Manager, execute the request, sanitize the response, and return the result to the client."</w:t>
            </w:r>
          </w:p>
        </w:tc>
      </w:tr>
    </w:tbl>
    <w:p/>
    <w:p>
      <w:pPr>
        <w:pStyle w:val="Heading2"/>
        <w:spacing w:before="220" w:after="60"/>
      </w:pPr>
      <w:r>
        <w:rPr>
          <w:b/>
          <w:color w:val="2E7D32"/>
          <w:sz w:val="25"/>
        </w:rPr>
        <w:t>Q4: Why did you choose Flutter over native Android/iOS development?</w:t>
      </w:r>
    </w:p>
    <w:tbl>
      <w:tblPr>
        <w:tblW w:type="auto" w:w="0"/>
        <w:jc w:val="center"/>
        <w:tblLook w:firstColumn="1" w:firstRow="1" w:lastColumn="0" w:lastRow="0" w:noHBand="0" w:noVBand="1" w:val="04A0"/>
      </w:tblPr>
      <w:tblGrid>
        <w:gridCol w:w="9360"/>
      </w:tblGrid>
      <w:tr>
        <w:tc>
          <w:tcPr>
            <w:tcW w:type="dxa" w:w="9360"/>
            <w:shd w:fill="FAFAFA"/>
            <w:tcMar>
              <w:top w:w="120" w:type="dxa"/>
              <w:bottom w:w="120" w:type="dxa"/>
              <w:left w:w="160" w:type="dxa"/>
              <w:right w:w="160" w:type="dxa"/>
            </w:tcMar>
            <w:tcBorders>
              <w:left w:val="single" w:sz="20" w:space="0" w:color="1565C0"/>
              <w:top w:val="none"/>
              <w:right w:val="none"/>
              <w:bottom w:val="none"/>
            </w:tcBorders>
          </w:tcPr>
          <w:p>
            <w:pPr>
              <w:spacing w:before="40" w:after="40"/>
            </w:pPr>
            <w:r>
              <w:rPr>
                <w:b/>
                <w:color w:val="0D47A1"/>
                <w:sz w:val="19"/>
              </w:rPr>
              <w:t>RECOMMENDED SPOKEN ANSWER:</w:t>
              <w:br/>
            </w:r>
            <w:r>
              <w:rPr>
                <w:i/>
                <w:color w:val="212121"/>
                <w:sz w:val="20"/>
              </w:rPr>
              <w:t>"Flutter allowed us to build a single, highly performant cross-platform codebase using Dart. For an agricultural app serving diverse rural populations, supporting both Android devices and iOS without maintaining two separate repositories cut development overhead in half. Additionally, Flutter's direct C++ FFI bindings allowed us to integrate TensorFlow Lite (tflite_flutter) seamlessly for native hardware acceleration."</w:t>
            </w:r>
          </w:p>
        </w:tc>
      </w:tr>
    </w:tbl>
    <w:p/>
    <w:p>
      <w:pPr>
        <w:pStyle w:val="Heading2"/>
        <w:spacing w:before="220" w:after="60"/>
      </w:pPr>
      <w:r>
        <w:rPr>
          <w:b/>
          <w:color w:val="2E7D32"/>
          <w:sz w:val="25"/>
        </w:rPr>
        <w:t>Q5: How does your app handle Ghanaian languages, and why is that important?</w:t>
      </w:r>
    </w:p>
    <w:tbl>
      <w:tblPr>
        <w:tblW w:type="auto" w:w="0"/>
        <w:jc w:val="center"/>
        <w:tblLook w:firstColumn="1" w:firstRow="1" w:lastColumn="0" w:lastRow="0" w:noHBand="0" w:noVBand="1" w:val="04A0"/>
      </w:tblPr>
      <w:tblGrid>
        <w:gridCol w:w="9360"/>
      </w:tblGrid>
      <w:tr>
        <w:tc>
          <w:tcPr>
            <w:tcW w:type="dxa" w:w="9360"/>
            <w:shd w:fill="FAFAFA"/>
            <w:tcMar>
              <w:top w:w="120" w:type="dxa"/>
              <w:bottom w:w="120" w:type="dxa"/>
              <w:left w:w="160" w:type="dxa"/>
              <w:right w:w="160" w:type="dxa"/>
            </w:tcMar>
            <w:tcBorders>
              <w:left w:val="single" w:sz="20" w:space="0" w:color="1565C0"/>
              <w:top w:val="none"/>
              <w:right w:val="none"/>
              <w:bottom w:val="none"/>
            </w:tcBorders>
          </w:tcPr>
          <w:p>
            <w:pPr>
              <w:spacing w:before="40" w:after="40"/>
            </w:pPr>
            <w:r>
              <w:rPr>
                <w:b/>
                <w:color w:val="0D47A1"/>
                <w:sz w:val="19"/>
              </w:rPr>
              <w:t>RECOMMENDED SPOKEN ANSWER:</w:t>
              <w:br/>
            </w:r>
            <w:r>
              <w:rPr>
                <w:i/>
                <w:color w:val="212121"/>
                <w:sz w:val="20"/>
              </w:rPr>
              <w:t>"Illiteracy and language barriers are major obstacles for extension adoption in rural West Africa. We integrated Khaya AI's Ghanaian language APIs via our proxy layer. We support Speech-to-Text (ASR v3) so farmers can dictate farm notes in Twi, Ewe, or Dagbani, and Text-to-Speech (TTS v2) using specific native speaker personas (twi_speaker_4, ewe_speaker_1, dagbani_speaker_1) to read diagnostic recommendations aloud."</w:t>
            </w:r>
          </w:p>
        </w:tc>
      </w:tr>
    </w:tbl>
    <w:p/>
    <w:p>
      <w:pPr>
        <w:pStyle w:val="Heading2"/>
        <w:spacing w:before="220" w:after="60"/>
      </w:pPr>
      <w:r>
        <w:rPr>
          <w:b/>
          <w:color w:val="2E7D32"/>
          <w:sz w:val="25"/>
        </w:rPr>
        <w:t>Q6: How do you ensure user privacy, especially regarding location data?</w:t>
      </w:r>
    </w:p>
    <w:tbl>
      <w:tblPr>
        <w:tblW w:type="auto" w:w="0"/>
        <w:jc w:val="center"/>
        <w:tblLook w:firstColumn="1" w:firstRow="1" w:lastColumn="0" w:lastRow="0" w:noHBand="0" w:noVBand="1" w:val="04A0"/>
      </w:tblPr>
      <w:tblGrid>
        <w:gridCol w:w="9360"/>
      </w:tblGrid>
      <w:tr>
        <w:tc>
          <w:tcPr>
            <w:tcW w:type="dxa" w:w="9360"/>
            <w:shd w:fill="FAFAFA"/>
            <w:tcMar>
              <w:top w:w="120" w:type="dxa"/>
              <w:bottom w:w="120" w:type="dxa"/>
              <w:left w:w="160" w:type="dxa"/>
              <w:right w:w="160" w:type="dxa"/>
            </w:tcMar>
            <w:tcBorders>
              <w:left w:val="single" w:sz="20" w:space="0" w:color="1565C0"/>
              <w:top w:val="none"/>
              <w:right w:val="none"/>
              <w:bottom w:val="none"/>
            </w:tcBorders>
          </w:tcPr>
          <w:p>
            <w:pPr>
              <w:spacing w:before="40" w:after="40"/>
            </w:pPr>
            <w:r>
              <w:rPr>
                <w:b/>
                <w:color w:val="0D47A1"/>
                <w:sz w:val="19"/>
              </w:rPr>
              <w:t>RECOMMENDED SPOKEN ANSWER:</w:t>
              <w:br/>
            </w:r>
            <w:r>
              <w:rPr>
                <w:i/>
                <w:color w:val="212121"/>
                <w:sz w:val="20"/>
              </w:rPr>
              <w:t>"We implement location fuzzing in our LocationPrivacy utility before transmitting data to the cloud. Exact GPS coordinates are perturbed within a ~1 km radius to protect individual farm privacy while preserving regional accuracy for our outbreak surveillance map. Furthermore, our DiagnosticSanitizer automatically redacts sensitive data, tokens, and PII from all application logs."</w:t>
            </w:r>
          </w:p>
        </w:tc>
      </w:tr>
    </w:tbl>
    <w:p/>
    <w:p>
      <w:pPr>
        <w:pStyle w:val="Heading2"/>
        <w:spacing w:before="220" w:after="60"/>
      </w:pPr>
      <w:r>
        <w:rPr>
          <w:b/>
          <w:color w:val="2E7D32"/>
          <w:sz w:val="25"/>
        </w:rPr>
        <w:t>Q7: What happens if two offline updates conflict when network connection is restored?</w:t>
      </w:r>
    </w:p>
    <w:tbl>
      <w:tblPr>
        <w:tblW w:type="auto" w:w="0"/>
        <w:jc w:val="center"/>
        <w:tblLook w:firstColumn="1" w:firstRow="1" w:lastColumn="0" w:lastRow="0" w:noHBand="0" w:noVBand="1" w:val="04A0"/>
      </w:tblPr>
      <w:tblGrid>
        <w:gridCol w:w="9360"/>
      </w:tblGrid>
      <w:tr>
        <w:tc>
          <w:tcPr>
            <w:tcW w:type="dxa" w:w="9360"/>
            <w:shd w:fill="FAFAFA"/>
            <w:tcMar>
              <w:top w:w="120" w:type="dxa"/>
              <w:bottom w:w="120" w:type="dxa"/>
              <w:left w:w="160" w:type="dxa"/>
              <w:right w:w="160" w:type="dxa"/>
            </w:tcMar>
            <w:tcBorders>
              <w:left w:val="single" w:sz="20" w:space="0" w:color="1565C0"/>
              <w:top w:val="none"/>
              <w:right w:val="none"/>
              <w:bottom w:val="none"/>
            </w:tcBorders>
          </w:tcPr>
          <w:p>
            <w:pPr>
              <w:spacing w:before="40" w:after="40"/>
            </w:pPr>
            <w:r>
              <w:rPr>
                <w:b/>
                <w:color w:val="0D47A1"/>
                <w:sz w:val="19"/>
              </w:rPr>
              <w:t>RECOMMENDED SPOKEN ANSWER:</w:t>
              <w:br/>
            </w:r>
            <w:r>
              <w:rPr>
                <w:i/>
                <w:color w:val="212121"/>
                <w:sz w:val="20"/>
              </w:rPr>
              <w:t>"Our PendingSyncQueue processes queued operations sequentially using a deterministic FIFO order with optimistic concurrency. Local SQLite writes take immediate precedence for the user interface. When syncing, document upserts use deterministic UUIDs generated at the time of scan creation, ensuring that retries overwrite the correct document rather than creating duplicate records."</w:t>
            </w:r>
          </w:p>
        </w:tc>
      </w:tr>
    </w:tbl>
    <w:p/>
    <w:p>
      <w:pPr>
        <w:pStyle w:val="Heading2"/>
        <w:spacing w:before="220" w:after="60"/>
      </w:pPr>
      <w:r>
        <w:rPr>
          <w:b/>
          <w:color w:val="2E7D32"/>
          <w:sz w:val="25"/>
        </w:rPr>
        <w:t>Q8: What would you do differently if you had another three months on this project?</w:t>
      </w:r>
    </w:p>
    <w:tbl>
      <w:tblPr>
        <w:tblW w:type="auto" w:w="0"/>
        <w:jc w:val="center"/>
        <w:tblLook w:firstColumn="1" w:firstRow="1" w:lastColumn="0" w:lastRow="0" w:noHBand="0" w:noVBand="1" w:val="04A0"/>
      </w:tblPr>
      <w:tblGrid>
        <w:gridCol w:w="9360"/>
      </w:tblGrid>
      <w:tr>
        <w:tc>
          <w:tcPr>
            <w:tcW w:type="dxa" w:w="9360"/>
            <w:shd w:fill="FAFAFA"/>
            <w:tcMar>
              <w:top w:w="120" w:type="dxa"/>
              <w:bottom w:w="120" w:type="dxa"/>
              <w:left w:w="160" w:type="dxa"/>
              <w:right w:w="160" w:type="dxa"/>
            </w:tcMar>
            <w:tcBorders>
              <w:left w:val="single" w:sz="20" w:space="0" w:color="1565C0"/>
              <w:top w:val="none"/>
              <w:right w:val="none"/>
              <w:bottom w:val="none"/>
            </w:tcBorders>
          </w:tcPr>
          <w:p>
            <w:pPr>
              <w:spacing w:before="40" w:after="40"/>
            </w:pPr>
            <w:r>
              <w:rPr>
                <w:b/>
                <w:color w:val="0D47A1"/>
                <w:sz w:val="19"/>
              </w:rPr>
              <w:t>RECOMMENDED SPOKEN ANSWER:</w:t>
              <w:br/>
            </w:r>
            <w:r>
              <w:rPr>
                <w:i/>
                <w:color w:val="212121"/>
                <w:sz w:val="20"/>
              </w:rPr>
              <w:t>"First, I would conduct an in-field data collection campaign across local Ghanaian farms to retrain and fine-tune our MobileNetV2 model on real field imagery, pushing accuracy past our 70% release floor. Second, I would bundle a dedicated lightweight binary leaf-presence classifier to eliminate out-of-domain false positives. Third, I would expand our outbreak surveillance system to send automated SMS alerts to basic feature-phone users in neighboring communities."</w:t>
            </w:r>
          </w:p>
        </w:tc>
      </w:tr>
    </w:tbl>
    <w:p/>
    <w:p>
      <w:pPr>
        <w:pStyle w:val="Heading1"/>
        <w:spacing w:before="320" w:after="100"/>
      </w:pPr>
      <w:r>
        <w:rPr>
          <w:b/>
          <w:color w:val="1B5E20"/>
          <w:sz w:val="32"/>
        </w:rPr>
        <w:t>6. One-Page Presentation Cheat Sheet</w:t>
      </w:r>
    </w:p>
    <w:p>
      <w:r>
        <w:t>Condensed quick-reference bullet points for review immediately before walking into your defense:</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100" w:type="dxa"/>
              <w:bottom w:w="100" w:type="dxa"/>
              <w:left w:w="140" w:type="dxa"/>
              <w:right w:w="140" w:type="dxa"/>
            </w:tcMar>
            <w:shd w:fill="1B5E20"/>
          </w:tcPr>
          <w:p>
            <w:pPr>
              <w:spacing w:before="60" w:after="60"/>
            </w:pPr>
            <w:r>
              <w:rPr>
                <w:b/>
                <w:color w:val="FFFFFF"/>
                <w:sz w:val="19"/>
              </w:rPr>
              <w:t>Core Pillar / Section</w:t>
            </w:r>
          </w:p>
        </w:tc>
        <w:tc>
          <w:tcPr>
            <w:tcW w:type="dxa" w:w="4680"/>
            <w:vAlign w:val="center"/>
            <w:tcMar>
              <w:top w:w="100" w:type="dxa"/>
              <w:bottom w:w="100" w:type="dxa"/>
              <w:left w:w="140" w:type="dxa"/>
              <w:right w:w="140" w:type="dxa"/>
            </w:tcMar>
            <w:shd w:fill="1B5E20"/>
          </w:tcPr>
          <w:p>
            <w:pPr>
              <w:spacing w:before="60" w:after="60"/>
            </w:pPr>
            <w:r>
              <w:rPr>
                <w:b/>
                <w:color w:val="FFFFFF"/>
                <w:sz w:val="19"/>
              </w:rPr>
              <w:t>Essential Talking Points &amp; Facts</w:t>
            </w:r>
          </w:p>
        </w:tc>
      </w:tr>
      <w:tr>
        <w:trPr>
          <w:cantSplit/>
        </w:trPr>
        <w:tc>
          <w:tcPr>
            <w:tcW w:type="dxa" w:w="4680"/>
            <w:vAlign w:val="center"/>
            <w:tcMar>
              <w:top w:w="100" w:type="dxa"/>
              <w:bottom w:w="100" w:type="dxa"/>
              <w:left w:w="140" w:type="dxa"/>
              <w:right w:w="140" w:type="dxa"/>
            </w:tcMar>
            <w:shd w:fill="FFFFFF"/>
          </w:tcPr>
          <w:p>
            <w:pPr>
              <w:spacing w:before="50" w:after="50"/>
            </w:pPr>
            <w:r>
              <w:rPr>
                <w:color w:val="263238"/>
                <w:sz w:val="18"/>
              </w:rPr>
              <w:t>1. The 60-Second Summary</w:t>
            </w:r>
          </w:p>
        </w:tc>
        <w:tc>
          <w:tcPr>
            <w:tcW w:type="dxa" w:w="4680"/>
            <w:vAlign w:val="center"/>
            <w:tcMar>
              <w:top w:w="100" w:type="dxa"/>
              <w:bottom w:w="100" w:type="dxa"/>
              <w:left w:w="140" w:type="dxa"/>
              <w:right w:w="140" w:type="dxa"/>
            </w:tcMar>
            <w:shd w:fill="FFFFFF"/>
          </w:tcPr>
          <w:p>
            <w:pPr>
              <w:spacing w:before="50" w:after="50"/>
            </w:pPr>
            <w:r>
              <w:rPr>
                <w:color w:val="263238"/>
                <w:sz w:val="18"/>
              </w:rPr>
              <w:t>• Offline-first crop disease diagnostic &amp; outbreak surveillance app for smallholders in Ghana.</w:t>
              <w:br/>
              <w:t>• Core Tech: Flutter, TFLite (MobileNetV2), Firebase Cloud Functions v2, Gemini 1.5 Flash, SQLite, Khaya AI.</w:t>
              <w:br/>
              <w:t>• Current Status: Working prototype with end-to-end integration; model accuracy below release floor, backed by cloud fallback.</w:t>
            </w:r>
          </w:p>
        </w:tc>
      </w:tr>
      <w:tr>
        <w:trPr>
          <w:cantSplit/>
        </w:trPr>
        <w:tc>
          <w:tcPr>
            <w:tcW w:type="dxa" w:w="4680"/>
            <w:vAlign w:val="center"/>
            <w:tcMar>
              <w:top w:w="100" w:type="dxa"/>
              <w:bottom w:w="100" w:type="dxa"/>
              <w:left w:w="140" w:type="dxa"/>
              <w:right w:w="140" w:type="dxa"/>
            </w:tcMar>
            <w:shd w:fill="F9FBE7"/>
          </w:tcPr>
          <w:p>
            <w:pPr>
              <w:spacing w:before="50" w:after="50"/>
            </w:pPr>
            <w:r>
              <w:rPr>
                <w:color w:val="263238"/>
                <w:sz w:val="18"/>
              </w:rPr>
              <w:t>2. User Journey Spine</w:t>
            </w:r>
          </w:p>
        </w:tc>
        <w:tc>
          <w:tcPr>
            <w:tcW w:type="dxa" w:w="4680"/>
            <w:vAlign w:val="center"/>
            <w:tcMar>
              <w:top w:w="100" w:type="dxa"/>
              <w:bottom w:w="100" w:type="dxa"/>
              <w:left w:w="140" w:type="dxa"/>
              <w:right w:w="140" w:type="dxa"/>
            </w:tcMar>
            <w:shd w:fill="F9FBE7"/>
          </w:tcPr>
          <w:p>
            <w:pPr>
              <w:spacing w:before="50" w:after="50"/>
            </w:pPr>
            <w:r>
              <w:rPr>
                <w:color w:val="263238"/>
                <w:sz w:val="18"/>
              </w:rPr>
              <w:t>• Camera Capture ➔ ImageQualityAnalyzer (Blur/Light check) ➔ TFLite on-device ML (&lt;120ms).</w:t>
              <w:br/>
              <w:t>• Confidence Gate (τ &gt;= 0.60) ➔ Gemini 1.5 Flash second opinion (if low confidence).</w:t>
              <w:br/>
              <w:t>• Result UI + Khaya TTS audio (Twi/Ewe/Dagbani) ➔ SQLite local DB ➔ PendingSyncQueue ➔ Cloud Firestore.</w:t>
            </w:r>
          </w:p>
        </w:tc>
      </w:tr>
      <w:tr>
        <w:trPr>
          <w:cantSplit/>
        </w:trPr>
        <w:tc>
          <w:tcPr>
            <w:tcW w:type="dxa" w:w="4680"/>
            <w:vAlign w:val="center"/>
            <w:tcMar>
              <w:top w:w="100" w:type="dxa"/>
              <w:bottom w:w="100" w:type="dxa"/>
              <w:left w:w="140" w:type="dxa"/>
              <w:right w:w="140" w:type="dxa"/>
            </w:tcMar>
            <w:shd w:fill="FFFFFF"/>
          </w:tcPr>
          <w:p>
            <w:pPr>
              <w:spacing w:before="50" w:after="50"/>
            </w:pPr>
            <w:r>
              <w:rPr>
                <w:color w:val="263238"/>
                <w:sz w:val="18"/>
              </w:rPr>
              <w:t>3. Key Engineering Decisions</w:t>
            </w:r>
          </w:p>
        </w:tc>
        <w:tc>
          <w:tcPr>
            <w:tcW w:type="dxa" w:w="4680"/>
            <w:vAlign w:val="center"/>
            <w:tcMar>
              <w:top w:w="100" w:type="dxa"/>
              <w:bottom w:w="100" w:type="dxa"/>
              <w:left w:w="140" w:type="dxa"/>
              <w:right w:w="140" w:type="dxa"/>
            </w:tcMar>
            <w:shd w:fill="FFFFFF"/>
          </w:tcPr>
          <w:p>
            <w:pPr>
              <w:spacing w:before="50" w:after="50"/>
            </w:pPr>
            <w:r>
              <w:rPr>
                <w:color w:val="263238"/>
                <w:sz w:val="18"/>
              </w:rPr>
              <w:t>• 3-Tier Edge Hybrid: On-device ML for 100% offline rural use; Cloud AI for complex fallback cases.</w:t>
              <w:br/>
              <w:t>• Zero-Secret Client: Credentials in GCP Secret Manager; Functions proxy handles Auth JWT verification.</w:t>
              <w:br/>
              <w:t>• Confidence Gating (60%): Prevents false diagnostic confidence &amp; agrochemical crop damage.</w:t>
              <w:br/>
              <w:t>• SQLite + FIFO Sync Queue: Guarantees zero data loss during intermittent rural connectivity.</w:t>
              <w:br/>
              <w:t>• Centralized Language Config: Single source of truth for Khaya API versions (v3 ASR / v2 TTS).</w:t>
            </w:r>
          </w:p>
        </w:tc>
      </w:tr>
      <w:tr>
        <w:trPr>
          <w:cantSplit/>
        </w:trPr>
        <w:tc>
          <w:tcPr>
            <w:tcW w:type="dxa" w:w="4680"/>
            <w:vAlign w:val="center"/>
            <w:tcMar>
              <w:top w:w="100" w:type="dxa"/>
              <w:bottom w:w="100" w:type="dxa"/>
              <w:left w:w="140" w:type="dxa"/>
              <w:right w:w="140" w:type="dxa"/>
            </w:tcMar>
            <w:shd w:fill="F9FBE7"/>
          </w:tcPr>
          <w:p>
            <w:pPr>
              <w:spacing w:before="50" w:after="50"/>
            </w:pPr>
            <w:r>
              <w:rPr>
                <w:color w:val="263238"/>
                <w:sz w:val="18"/>
              </w:rPr>
              <w:t>4. Honest Limitations</w:t>
            </w:r>
          </w:p>
        </w:tc>
        <w:tc>
          <w:tcPr>
            <w:tcW w:type="dxa" w:w="4680"/>
            <w:vAlign w:val="center"/>
            <w:tcMar>
              <w:top w:w="100" w:type="dxa"/>
              <w:bottom w:w="100" w:type="dxa"/>
              <w:left w:w="140" w:type="dxa"/>
              <w:right w:w="140" w:type="dxa"/>
            </w:tcMar>
            <w:shd w:fill="F9FBE7"/>
          </w:tcPr>
          <w:p>
            <w:pPr>
              <w:spacing w:before="50" w:after="50"/>
            </w:pPr>
            <w:r>
              <w:rPr>
                <w:color w:val="263238"/>
                <w:sz w:val="18"/>
              </w:rPr>
              <w:t>• Accuracy Floor: Validation ~63.9%, Field ~16.7% Top-1 due to background soil/lighting domain shift.</w:t>
              <w:br/>
              <w:t>• Mitigation: Confidence gating + Gemini cloud audit + Extension Officer escalation.</w:t>
              <w:br/>
              <w:t>• OOD Detection: In-engine green-ratio check used instead of heavy binary model.</w:t>
              <w:br/>
              <w:t>• Sync Duplication: Patched by moving from .add() auto-IDs to deterministic document upserts.</w:t>
            </w:r>
          </w:p>
        </w:tc>
      </w:tr>
      <w:tr>
        <w:trPr>
          <w:cantSplit/>
        </w:trPr>
        <w:tc>
          <w:tcPr>
            <w:tcW w:type="dxa" w:w="4680"/>
            <w:vAlign w:val="center"/>
            <w:tcMar>
              <w:top w:w="100" w:type="dxa"/>
              <w:bottom w:w="100" w:type="dxa"/>
              <w:left w:w="140" w:type="dxa"/>
              <w:right w:w="140" w:type="dxa"/>
            </w:tcMar>
            <w:shd w:fill="FFFFFF"/>
          </w:tcPr>
          <w:p>
            <w:pPr>
              <w:spacing w:before="50" w:after="50"/>
            </w:pPr>
            <w:r>
              <w:rPr>
                <w:color w:val="263238"/>
                <w:sz w:val="18"/>
              </w:rPr>
              <w:t>5. Key Numbers &amp; Paths</w:t>
            </w:r>
          </w:p>
        </w:tc>
        <w:tc>
          <w:tcPr>
            <w:tcW w:type="dxa" w:w="4680"/>
            <w:vAlign w:val="center"/>
            <w:tcMar>
              <w:top w:w="100" w:type="dxa"/>
              <w:bottom w:w="100" w:type="dxa"/>
              <w:left w:w="140" w:type="dxa"/>
              <w:right w:w="140" w:type="dxa"/>
            </w:tcMar>
            <w:shd w:fill="FFFFFF"/>
          </w:tcPr>
          <w:p>
            <w:pPr>
              <w:spacing w:before="50" w:after="50"/>
            </w:pPr>
            <w:r>
              <w:rPr>
                <w:color w:val="263238"/>
                <w:sz w:val="18"/>
              </w:rPr>
              <w:t>• Test Suite: 623 / 623 automated tests passing (100% pass rate).</w:t>
              <w:br/>
              <w:t>• Mobile Model: 14.8 MB Quantized MobileNetV2 (51 Disease Classes).</w:t>
              <w:br/>
              <w:t>• Android APK: build/app/outputs/flutter-apk/app-debug.apk (205 MB).</w:t>
              <w:br/>
              <w:t>• Full Academic Report: docs/CropGuard_AI_Final_Year_Project_Report.docx.</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0A4AE"/>
        <w:sz w:val="17"/>
      </w:rPr>
      <w:t>Confidential Defense Preparation Document | Candidate: Kwame Yeboah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909C"/>
        <w:sz w:val="17"/>
      </w:rPr>
      <w:t>CropGuard AI — Supervisor Defense &amp; Spoken 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Segoe UI" w:hAnsi="Segoe UI"/>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