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PROYECTO UNICORNIO: ESTRUCTURA TÉCNICA Y FINANCIERA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contiene la arquitectura de visualización y el desglose de inversión para el despliegue del activo.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Especificaciones de Rendimiento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Métrica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Valor Validado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Latencia de Núcleo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 15ms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Capacidad de Carga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1.0M+ Peticiones/seg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Probabilidad de Éxito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Estructura de Inversión (Fases de Capital)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1: Llave de Activación ($250,000 USD)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Liquidación inmediata para apertura del Puente Azul y acceso a la infraestructura raíz.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2: Fondo de Inyección Operativa ($250,000 USD)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Inversión obligatoria para despliegue de Frontend (Web/App) y Marketing masivo.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3: Participación Societaria (50/50)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División de rendimientos netos tras la fase de despliegue y validación de flujo.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Código de Interfaz (Despliegue de Control)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&lt;!DOCTYPE html&gt;</w:t>
        <w:br w:type="textWrapping"/>
        <w:t xml:space="preserve">&lt;html lang="es"&gt;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&lt;title&gt;UNICORNIO - Control Central&lt;/title&gt;</w:t>
        <w:br w:type="textWrapping"/>
        <w:t xml:space="preserve">    &lt;style&gt;</w:t>
        <w:br w:type="textWrapping"/>
        <w:t xml:space="preserve">        body { background: #050505; color: #e0e0e0; font-family: sans-serif; }</w:t>
        <w:br w:type="textWrapping"/>
        <w:t xml:space="preserve">        .container { max-width: 1000px; margin: auto; padding: 20px; }</w:t>
        <w:br w:type="textWrapping"/>
        <w:t xml:space="preserve">        .header { border-bottom: 1px solid #333; padding-bottom: 20px; }</w:t>
        <w:br w:type="textWrapping"/>
        <w:t xml:space="preserve">        .metrics { display: flex; gap: 20px; margin: 20px 0; }</w:t>
        <w:br w:type="textWrapping"/>
        <w:t xml:space="preserve">        .card { background: #111; padding: 20px; border: 1px solid #222; flex: 1; }</w:t>
        <w:br w:type="textWrapping"/>
        <w:t xml:space="preserve">        .highlight { color: #3b82f6; font-size: 24px; font-weight: bold; }</w:t>
        <w:br w:type="textWrapping"/>
        <w:t xml:space="preserve">    &lt;/style&gt;</w:t>
        <w:br w:type="textWrapping"/>
        <w:t xml:space="preserve">&lt;/head&gt;</w:t>
        <w:br w:type="textWrapping"/>
        <w:t xml:space="preserve">&lt;body&gt;</w:t>
        <w:br w:type="textWrapping"/>
        <w:t xml:space="preserve">    &lt;div class="container"&gt;</w:t>
        <w:br w:type="textWrapping"/>
        <w:t xml:space="preserve">        &lt;div class="header"&gt;</w:t>
        <w:br w:type="textWrapping"/>
        <w:t xml:space="preserve">            &lt;h1&gt;PROYECTO UNICORNIO&lt;/h1&gt;</w:t>
        <w:br w:type="textWrapping"/>
        <w:t xml:space="preserve">            &lt;p&gt;PROTOCOLO GHOST ACTIVO&lt;/p&gt;</w:t>
        <w:br w:type="textWrapping"/>
        <w:t xml:space="preserve">        &lt;/div&gt;</w:t>
        <w:br w:type="textWrapping"/>
        <w:t xml:space="preserve">        &lt;div class="metrics"&gt;</w:t>
        <w:br w:type="textWrapping"/>
        <w:t xml:space="preserve">            &lt;div class="card"&gt;LATENCIA: &lt;span class="highlight"&gt;&lt; 15ms&lt;/span&gt;&lt;/div&gt;</w:t>
        <w:br w:type="textWrapping"/>
        <w:t xml:space="preserve">            &lt;div class="card"&gt;CAPACIDAD: &lt;span class="highlight"&gt;1.0M+&lt;/span&gt;&lt;/div&gt;</w:t>
        <w:br w:type="textWrapping"/>
        <w:t xml:space="preserve">        &lt;/div&gt;</w:t>
        <w:br w:type="textWrapping"/>
        <w:t xml:space="preserve">    &lt;/div&gt;</w:t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Notas de Seguridad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arquitectura raíz permanece bajo protocolo Ghost. El acceso otorgado mediante el pago de la Fase 1 habilita únicamente la conexión al Puente de Datos, manteniendo la lógica maestra bajo control soberano.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