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color w:val="3B82F6"/>
          <w:sz w:val="52"/>
        </w:rPr>
        <w:t>TRUST TRACKER</w:t>
        <w:br/>
        <w:t>DESIGN SYSTEM SPECIFICATION</w:t>
      </w:r>
    </w:p>
    <w:p>
      <w:pPr>
        <w:jc w:val="center"/>
      </w:pPr>
      <w:r>
        <w:rPr>
          <w:rFonts w:ascii="Arial" w:hAnsi="Arial"/>
          <w:i/>
          <w:color w:val="718096"/>
          <w:sz w:val="26"/>
        </w:rPr>
        <w:t>Centralized Enterprise-Grade Fintech UI Architecture &amp; Foundation</w:t>
      </w:r>
    </w:p>
    <w:p>
      <w:r>
        <w:br/>
        <w:br/>
      </w:r>
    </w:p>
    <w:p>
      <w:pPr>
        <w:pStyle w:val="Heading1"/>
      </w:pPr>
      <w:r>
        <w:rPr>
          <w:color w:val="1A365D"/>
          <w:sz w:val="36"/>
        </w:rPr>
        <w:t>1. Executive Summary &amp; Design Principles</w:t>
      </w:r>
    </w:p>
    <w:p>
      <w:pPr>
        <w:spacing w:line="300" w:lineRule="auto" w:after="240"/>
      </w:pPr>
      <w:r>
        <w:t>The Trust Tracker Design System has been centralized to provide an offline-first, premium, and highly cohesive visual language for personal finance management. By modularizing design parameters into distinct Dart components (Colors, Gradients, Typography, Shadows, Spacing, and Animations), we ensure absolute visual consistency across all pages, modules, and future extensions (including the upcoming web landing pages and marketing assets).</w:t>
      </w:r>
    </w:p>
    <w:p>
      <w:r>
        <w:rPr>
          <w:b/>
        </w:rPr>
        <w:t>Core Design Pillars:</w:t>
        <w:br/>
      </w:r>
      <w:r>
        <w:rPr>
          <w:b/>
        </w:rPr>
        <w:t xml:space="preserve">• Premium Fintech Aesthetics: </w:t>
      </w:r>
      <w:r>
        <w:t>Utilizes tailored HSL colors, dark obsidian backgrounds, smooth curves, and clean typography to evoke security and prestige.</w:t>
        <w:br/>
      </w:r>
      <w:r>
        <w:rPr>
          <w:b/>
        </w:rPr>
        <w:t xml:space="preserve">• Complete Separation of Concerns: </w:t>
      </w:r>
      <w:r>
        <w:t>Theme constants are completely isolated from functional views and business logic, encouraging reusable code blocks.</w:t>
        <w:br/>
      </w:r>
      <w:r>
        <w:rPr>
          <w:b/>
        </w:rPr>
        <w:t xml:space="preserve">• Fluid Transitions &amp; Micro-interactions: </w:t>
      </w:r>
      <w:r>
        <w:t>Maintains high-frame-rate feedback with a unified system of durations and curves.</w:t>
        <w:br/>
      </w:r>
      <w:r>
        <w:rPr>
          <w:b/>
        </w:rPr>
        <w:t xml:space="preserve">• Bulletproof Dark Mode Consistency: </w:t>
      </w:r>
      <w:r>
        <w:t>Replaces standard glaring dark colors with obsidian surface layers to establish a solid depth hierarchy.</w:t>
        <w:br/>
      </w:r>
    </w:p>
    <w:p>
      <w:pPr>
        <w:pStyle w:val="Heading1"/>
      </w:pPr>
      <w:r>
        <w:rPr>
          <w:color w:val="1A365D"/>
          <w:sz w:val="36"/>
        </w:rPr>
        <w:t>2. Theme &amp; Color Specification</w:t>
      </w:r>
    </w:p>
    <w:p>
      <w:r>
        <w:t>Colors are categorized into Brand Neutrals, Brand Accents, and Functional Indicators. Dark mode uses high-contrast obsidian tones for optimal legibility and high visual prestige.</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Color Name</w:t>
            </w:r>
          </w:p>
        </w:tc>
        <w:tc>
          <w:tcPr>
            <w:tcW w:type="dxa" w:w="2340"/>
          </w:tcPr>
          <w:p>
            <w:r>
              <w:t>Hex Code / RGB</w:t>
            </w:r>
          </w:p>
        </w:tc>
        <w:tc>
          <w:tcPr>
            <w:tcW w:type="dxa" w:w="2340"/>
          </w:tcPr>
          <w:p>
            <w:r>
              <w:t>Light Mode Role</w:t>
            </w:r>
          </w:p>
        </w:tc>
        <w:tc>
          <w:tcPr>
            <w:tcW w:type="dxa" w:w="2340"/>
          </w:tcPr>
          <w:p>
            <w:r>
              <w:t>Dark Mode Role</w:t>
            </w:r>
          </w:p>
        </w:tc>
      </w:tr>
      <w:tr>
        <w:tc>
          <w:tcPr>
            <w:tcW w:type="dxa" w:w="2340"/>
          </w:tcPr>
          <w:p>
            <w:r>
              <w:t>Primary (Seed)</w:t>
            </w:r>
          </w:p>
        </w:tc>
        <w:tc>
          <w:tcPr>
            <w:tcW w:type="dxa" w:w="2340"/>
          </w:tcPr>
          <w:p>
            <w:r>
              <w:t>#3B82F6</w:t>
            </w:r>
          </w:p>
        </w:tc>
        <w:tc>
          <w:tcPr>
            <w:tcW w:type="dxa" w:w="2340"/>
          </w:tcPr>
          <w:p>
            <w:r>
              <w:t>Active highlights, key CTAs, branding accents</w:t>
            </w:r>
          </w:p>
        </w:tc>
        <w:tc>
          <w:tcPr>
            <w:tcW w:type="dxa" w:w="2340"/>
          </w:tcPr>
          <w:p>
            <w:r>
              <w:t>Retained brand representation across elements</w:t>
            </w:r>
          </w:p>
        </w:tc>
      </w:tr>
      <w:tr>
        <w:tc>
          <w:tcPr>
            <w:tcW w:type="dxa" w:w="2340"/>
          </w:tcPr>
          <w:p>
            <w:r>
              <w:t>Light Background</w:t>
            </w:r>
          </w:p>
        </w:tc>
        <w:tc>
          <w:tcPr>
            <w:tcW w:type="dxa" w:w="2340"/>
          </w:tcPr>
          <w:p>
            <w:r>
              <w:t>#F8F9FA</w:t>
            </w:r>
          </w:p>
        </w:tc>
        <w:tc>
          <w:tcPr>
            <w:tcW w:type="dxa" w:w="2340"/>
          </w:tcPr>
          <w:p>
            <w:r>
              <w:t>Soft gray full-screen background canvas</w:t>
            </w:r>
          </w:p>
        </w:tc>
        <w:tc>
          <w:tcPr>
            <w:tcW w:type="dxa" w:w="2340"/>
          </w:tcPr>
          <w:p>
            <w:r>
              <w:t>N/A</w:t>
            </w:r>
          </w:p>
        </w:tc>
      </w:tr>
      <w:tr>
        <w:tc>
          <w:tcPr>
            <w:tcW w:type="dxa" w:w="2340"/>
          </w:tcPr>
          <w:p>
            <w:r>
              <w:t>Light Surface</w:t>
            </w:r>
          </w:p>
        </w:tc>
        <w:tc>
          <w:tcPr>
            <w:tcW w:type="dxa" w:w="2340"/>
          </w:tcPr>
          <w:p>
            <w:r>
              <w:t>#FFFFFF</w:t>
            </w:r>
          </w:p>
        </w:tc>
        <w:tc>
          <w:tcPr>
            <w:tcW w:type="dxa" w:w="2340"/>
          </w:tcPr>
          <w:p>
            <w:r>
              <w:t>Clean white card bases and dialog windows</w:t>
            </w:r>
          </w:p>
        </w:tc>
        <w:tc>
          <w:tcPr>
            <w:tcW w:type="dxa" w:w="2340"/>
          </w:tcPr>
          <w:p>
            <w:r>
              <w:t>N/A</w:t>
            </w:r>
          </w:p>
        </w:tc>
      </w:tr>
      <w:tr>
        <w:tc>
          <w:tcPr>
            <w:tcW w:type="dxa" w:w="2340"/>
          </w:tcPr>
          <w:p>
            <w:r>
              <w:t>Dark Background</w:t>
            </w:r>
          </w:p>
        </w:tc>
        <w:tc>
          <w:tcPr>
            <w:tcW w:type="dxa" w:w="2340"/>
          </w:tcPr>
          <w:p>
            <w:r>
              <w:t>#0F0F11</w:t>
            </w:r>
          </w:p>
        </w:tc>
        <w:tc>
          <w:tcPr>
            <w:tcW w:type="dxa" w:w="2340"/>
          </w:tcPr>
          <w:p>
            <w:r>
              <w:t>N/A</w:t>
            </w:r>
          </w:p>
        </w:tc>
        <w:tc>
          <w:tcPr>
            <w:tcW w:type="dxa" w:w="2340"/>
          </w:tcPr>
          <w:p>
            <w:r>
              <w:t>Deep premium obsidian full-screen canvas</w:t>
            </w:r>
          </w:p>
        </w:tc>
      </w:tr>
      <w:tr>
        <w:tc>
          <w:tcPr>
            <w:tcW w:type="dxa" w:w="2340"/>
          </w:tcPr>
          <w:p>
            <w:r>
              <w:t>Dark Surface</w:t>
            </w:r>
          </w:p>
        </w:tc>
        <w:tc>
          <w:tcPr>
            <w:tcW w:type="dxa" w:w="2340"/>
          </w:tcPr>
          <w:p>
            <w:r>
              <w:t>#18181C</w:t>
            </w:r>
          </w:p>
        </w:tc>
        <w:tc>
          <w:tcPr>
            <w:tcW w:type="dxa" w:w="2340"/>
          </w:tcPr>
          <w:p>
            <w:r>
              <w:t>N/A</w:t>
            </w:r>
          </w:p>
        </w:tc>
        <w:tc>
          <w:tcPr>
            <w:tcW w:type="dxa" w:w="2340"/>
          </w:tcPr>
          <w:p>
            <w:r>
              <w:t>Elevated surface tiles, containers, base sheets</w:t>
            </w:r>
          </w:p>
        </w:tc>
      </w:tr>
      <w:tr>
        <w:tc>
          <w:tcPr>
            <w:tcW w:type="dxa" w:w="2340"/>
          </w:tcPr>
          <w:p>
            <w:r>
              <w:t>Dark Surface Variant</w:t>
            </w:r>
          </w:p>
        </w:tc>
        <w:tc>
          <w:tcPr>
            <w:tcW w:type="dxa" w:w="2340"/>
          </w:tcPr>
          <w:p>
            <w:r>
              <w:t>#222228</w:t>
            </w:r>
          </w:p>
        </w:tc>
        <w:tc>
          <w:tcPr>
            <w:tcW w:type="dxa" w:w="2340"/>
          </w:tcPr>
          <w:p>
            <w:r>
              <w:t>N/A</w:t>
            </w:r>
          </w:p>
        </w:tc>
        <w:tc>
          <w:tcPr>
            <w:tcW w:type="dxa" w:w="2340"/>
          </w:tcPr>
          <w:p>
            <w:r>
              <w:t>Highest elevation layer, dropdown menus, snackbars</w:t>
            </w:r>
          </w:p>
        </w:tc>
      </w:tr>
      <w:tr>
        <w:tc>
          <w:tcPr>
            <w:tcW w:type="dxa" w:w="2340"/>
          </w:tcPr>
          <w:p>
            <w:r>
              <w:t>Success Green</w:t>
            </w:r>
          </w:p>
        </w:tc>
        <w:tc>
          <w:tcPr>
            <w:tcW w:type="dxa" w:w="2340"/>
          </w:tcPr>
          <w:p>
            <w:r>
              <w:t>#10B981</w:t>
            </w:r>
          </w:p>
        </w:tc>
        <w:tc>
          <w:tcPr>
            <w:tcW w:type="dxa" w:w="2340"/>
          </w:tcPr>
          <w:p>
            <w:r>
              <w:t>Income indicator, positive balance trend, safe</w:t>
            </w:r>
          </w:p>
        </w:tc>
        <w:tc>
          <w:tcPr>
            <w:tcW w:type="dxa" w:w="2340"/>
          </w:tcPr>
          <w:p>
            <w:r>
              <w:t>Emerald Green indicator, optimized contrast</w:t>
            </w:r>
          </w:p>
        </w:tc>
      </w:tr>
      <w:tr>
        <w:tc>
          <w:tcPr>
            <w:tcW w:type="dxa" w:w="2340"/>
          </w:tcPr>
          <w:p>
            <w:r>
              <w:t>Error Red</w:t>
            </w:r>
          </w:p>
        </w:tc>
        <w:tc>
          <w:tcPr>
            <w:tcW w:type="dxa" w:w="2340"/>
          </w:tcPr>
          <w:p>
            <w:r>
              <w:t>#EF4444</w:t>
            </w:r>
          </w:p>
        </w:tc>
        <w:tc>
          <w:tcPr>
            <w:tcW w:type="dxa" w:w="2340"/>
          </w:tcPr>
          <w:p>
            <w:r>
              <w:t>Expenses indicator, over-budget notifications, delete</w:t>
            </w:r>
          </w:p>
        </w:tc>
        <w:tc>
          <w:tcPr>
            <w:tcW w:type="dxa" w:w="2340"/>
          </w:tcPr>
          <w:p>
            <w:r>
              <w:t>Vivid crimson alerting, highly legible against dark</w:t>
            </w:r>
          </w:p>
        </w:tc>
      </w:tr>
      <w:tr>
        <w:tc>
          <w:tcPr>
            <w:tcW w:type="dxa" w:w="2340"/>
          </w:tcPr>
          <w:p>
            <w:r>
              <w:t>Warning Amber</w:t>
            </w:r>
          </w:p>
        </w:tc>
        <w:tc>
          <w:tcPr>
            <w:tcW w:type="dxa" w:w="2340"/>
          </w:tcPr>
          <w:p>
            <w:r>
              <w:t>#F59E0B</w:t>
            </w:r>
          </w:p>
        </w:tc>
        <w:tc>
          <w:tcPr>
            <w:tcW w:type="dxa" w:w="2340"/>
          </w:tcPr>
          <w:p>
            <w:r>
              <w:t>Alerts, near-limit progress states, caution</w:t>
            </w:r>
          </w:p>
        </w:tc>
        <w:tc>
          <w:tcPr>
            <w:tcW w:type="dxa" w:w="2340"/>
          </w:tcPr>
          <w:p>
            <w:r>
              <w:t>High contrast golden-amber for secondary alerts</w:t>
            </w:r>
          </w:p>
        </w:tc>
      </w:tr>
    </w:tbl>
    <w:p>
      <w:r>
        <w:br/>
      </w:r>
    </w:p>
    <w:p>
      <w:pPr>
        <w:pStyle w:val="Heading1"/>
      </w:pPr>
      <w:r>
        <w:rPr>
          <w:color w:val="1A365D"/>
          <w:sz w:val="36"/>
        </w:rPr>
        <w:t>3. Unified Typography &amp; Scaling System</w:t>
      </w:r>
    </w:p>
    <w:p>
      <w:r>
        <w:t>Typography is divided between Manrope (used for prominent titles and figures to give a professional tech feel) and Inter (used for highly readable descriptions, values, body contents, and labels).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Typography Name</w:t>
            </w:r>
          </w:p>
        </w:tc>
        <w:tc>
          <w:tcPr>
            <w:tcW w:type="dxa" w:w="2340"/>
          </w:tcPr>
          <w:p>
            <w:r>
              <w:t>Font Family</w:t>
            </w:r>
          </w:p>
        </w:tc>
        <w:tc>
          <w:tcPr>
            <w:tcW w:type="dxa" w:w="2340"/>
          </w:tcPr>
          <w:p>
            <w:r>
              <w:t>Size / Weight / Spacing</w:t>
            </w:r>
          </w:p>
        </w:tc>
        <w:tc>
          <w:tcPr>
            <w:tcW w:type="dxa" w:w="2340"/>
          </w:tcPr>
          <w:p>
            <w:r>
              <w:t>Intended Usage</w:t>
            </w:r>
          </w:p>
        </w:tc>
      </w:tr>
      <w:tr>
        <w:tc>
          <w:tcPr>
            <w:tcW w:type="dxa" w:w="2340"/>
          </w:tcPr>
          <w:p>
            <w:r>
              <w:t>Display Large</w:t>
            </w:r>
          </w:p>
        </w:tc>
        <w:tc>
          <w:tcPr>
            <w:tcW w:type="dxa" w:w="2340"/>
          </w:tcPr>
          <w:p>
            <w:r>
              <w:t>Manrope</w:t>
            </w:r>
          </w:p>
        </w:tc>
        <w:tc>
          <w:tcPr>
            <w:tcW w:type="dxa" w:w="2340"/>
          </w:tcPr>
          <w:p>
            <w:r>
              <w:t>40pt / ExtraBold / -1.5 tracking</w:t>
            </w:r>
          </w:p>
        </w:tc>
        <w:tc>
          <w:tcPr>
            <w:tcW w:type="dxa" w:w="2340"/>
          </w:tcPr>
          <w:p>
            <w:r>
              <w:t>Hero figures, major dollar balances</w:t>
            </w:r>
          </w:p>
        </w:tc>
      </w:tr>
      <w:tr>
        <w:tc>
          <w:tcPr>
            <w:tcW w:type="dxa" w:w="2340"/>
          </w:tcPr>
          <w:p>
            <w:r>
              <w:t>Display Medium</w:t>
            </w:r>
          </w:p>
        </w:tc>
        <w:tc>
          <w:tcPr>
            <w:tcW w:type="dxa" w:w="2340"/>
          </w:tcPr>
          <w:p>
            <w:r>
              <w:t>Manrope</w:t>
            </w:r>
          </w:p>
        </w:tc>
        <w:tc>
          <w:tcPr>
            <w:tcW w:type="dxa" w:w="2340"/>
          </w:tcPr>
          <w:p>
            <w:r>
              <w:t>32pt / ExtraBold / -1.0 tracking</w:t>
            </w:r>
          </w:p>
        </w:tc>
        <w:tc>
          <w:tcPr>
            <w:tcW w:type="dxa" w:w="2340"/>
          </w:tcPr>
          <w:p>
            <w:r>
              <w:t>Primary net balances, page totals</w:t>
            </w:r>
          </w:p>
        </w:tc>
      </w:tr>
      <w:tr>
        <w:tc>
          <w:tcPr>
            <w:tcW w:type="dxa" w:w="2340"/>
          </w:tcPr>
          <w:p>
            <w:r>
              <w:t>Display Small</w:t>
            </w:r>
          </w:p>
        </w:tc>
        <w:tc>
          <w:tcPr>
            <w:tcW w:type="dxa" w:w="2340"/>
          </w:tcPr>
          <w:p>
            <w:r>
              <w:t>Manrope</w:t>
            </w:r>
          </w:p>
        </w:tc>
        <w:tc>
          <w:tcPr>
            <w:tcW w:type="dxa" w:w="2340"/>
          </w:tcPr>
          <w:p>
            <w:r>
              <w:t>24pt / ExtraBold / 0.0 tracking</w:t>
            </w:r>
          </w:p>
        </w:tc>
        <w:tc>
          <w:tcPr>
            <w:tcW w:type="dxa" w:w="2340"/>
          </w:tcPr>
          <w:p>
            <w:r>
              <w:t>Monthly overview amounts, secondary totals</w:t>
            </w:r>
          </w:p>
        </w:tc>
      </w:tr>
      <w:tr>
        <w:tc>
          <w:tcPr>
            <w:tcW w:type="dxa" w:w="2340"/>
          </w:tcPr>
          <w:p>
            <w:r>
              <w:t>Headline Medium</w:t>
            </w:r>
          </w:p>
        </w:tc>
        <w:tc>
          <w:tcPr>
            <w:tcW w:type="dxa" w:w="2340"/>
          </w:tcPr>
          <w:p>
            <w:r>
              <w:t>Manrope</w:t>
            </w:r>
          </w:p>
        </w:tc>
        <w:tc>
          <w:tcPr>
            <w:tcW w:type="dxa" w:w="2340"/>
          </w:tcPr>
          <w:p>
            <w:r>
              <w:t>20pt / Bold / 0.0 tracking</w:t>
            </w:r>
          </w:p>
        </w:tc>
        <w:tc>
          <w:tcPr>
            <w:tcW w:type="dxa" w:w="2340"/>
          </w:tcPr>
          <w:p>
            <w:r>
              <w:t>Page titles, major greeting headers</w:t>
            </w:r>
          </w:p>
        </w:tc>
      </w:tr>
      <w:tr>
        <w:tc>
          <w:tcPr>
            <w:tcW w:type="dxa" w:w="2340"/>
          </w:tcPr>
          <w:p>
            <w:r>
              <w:t>Headline Small</w:t>
            </w:r>
          </w:p>
        </w:tc>
        <w:tc>
          <w:tcPr>
            <w:tcW w:type="dxa" w:w="2340"/>
          </w:tcPr>
          <w:p>
            <w:r>
              <w:t>Manrope</w:t>
            </w:r>
          </w:p>
        </w:tc>
        <w:tc>
          <w:tcPr>
            <w:tcW w:type="dxa" w:w="2340"/>
          </w:tcPr>
          <w:p>
            <w:r>
              <w:t>18pt / Bold / 0.0 tracking</w:t>
            </w:r>
          </w:p>
        </w:tc>
        <w:tc>
          <w:tcPr>
            <w:tcW w:type="dxa" w:w="2340"/>
          </w:tcPr>
          <w:p>
            <w:r>
              <w:t>Section titles, sheet headings</w:t>
            </w:r>
          </w:p>
        </w:tc>
      </w:tr>
      <w:tr>
        <w:tc>
          <w:tcPr>
            <w:tcW w:type="dxa" w:w="2340"/>
          </w:tcPr>
          <w:p>
            <w:r>
              <w:t>Title Medium</w:t>
            </w:r>
          </w:p>
        </w:tc>
        <w:tc>
          <w:tcPr>
            <w:tcW w:type="dxa" w:w="2340"/>
          </w:tcPr>
          <w:p>
            <w:r>
              <w:t>Inter</w:t>
            </w:r>
          </w:p>
        </w:tc>
        <w:tc>
          <w:tcPr>
            <w:tcW w:type="dxa" w:w="2340"/>
          </w:tcPr>
          <w:p>
            <w:r>
              <w:t>16pt / SemiBold / 0.0 tracking</w:t>
            </w:r>
          </w:p>
        </w:tc>
        <w:tc>
          <w:tcPr>
            <w:tcW w:type="dxa" w:w="2340"/>
          </w:tcPr>
          <w:p>
            <w:r>
              <w:t>List items descriptions, field input labels</w:t>
            </w:r>
          </w:p>
        </w:tc>
      </w:tr>
      <w:tr>
        <w:tc>
          <w:tcPr>
            <w:tcW w:type="dxa" w:w="2340"/>
          </w:tcPr>
          <w:p>
            <w:r>
              <w:t>Body Medium</w:t>
            </w:r>
          </w:p>
        </w:tc>
        <w:tc>
          <w:tcPr>
            <w:tcW w:type="dxa" w:w="2340"/>
          </w:tcPr>
          <w:p>
            <w:r>
              <w:t>Inter</w:t>
            </w:r>
          </w:p>
        </w:tc>
        <w:tc>
          <w:tcPr>
            <w:tcW w:type="dxa" w:w="2340"/>
          </w:tcPr>
          <w:p>
            <w:r>
              <w:t>14pt / Medium / 0.0 tracking</w:t>
            </w:r>
          </w:p>
        </w:tc>
        <w:tc>
          <w:tcPr>
            <w:tcW w:type="dxa" w:w="2340"/>
          </w:tcPr>
          <w:p>
            <w:r>
              <w:t>Sub-texts, secondary category details</w:t>
            </w:r>
          </w:p>
        </w:tc>
      </w:tr>
      <w:tr>
        <w:tc>
          <w:tcPr>
            <w:tcW w:type="dxa" w:w="2340"/>
          </w:tcPr>
          <w:p>
            <w:r>
              <w:t>Label Small</w:t>
            </w:r>
          </w:p>
        </w:tc>
        <w:tc>
          <w:tcPr>
            <w:tcW w:type="dxa" w:w="2340"/>
          </w:tcPr>
          <w:p>
            <w:r>
              <w:t>Inter</w:t>
            </w:r>
          </w:p>
        </w:tc>
        <w:tc>
          <w:tcPr>
            <w:tcW w:type="dxa" w:w="2340"/>
          </w:tcPr>
          <w:p>
            <w:r>
              <w:t>11pt / SemiBold / +0.5 tracking</w:t>
            </w:r>
          </w:p>
        </w:tc>
        <w:tc>
          <w:tcPr>
            <w:tcW w:type="dxa" w:w="2340"/>
          </w:tcPr>
          <w:p>
            <w:r>
              <w:t>Quick tabs, transaction badges</w:t>
            </w:r>
          </w:p>
        </w:tc>
      </w:tr>
    </w:tbl>
    <w:p>
      <w:r>
        <w:br/>
      </w:r>
    </w:p>
    <w:p>
      <w:pPr>
        <w:pStyle w:val="Heading1"/>
      </w:pPr>
      <w:r>
        <w:rPr>
          <w:color w:val="1A365D"/>
          <w:sz w:val="36"/>
        </w:rPr>
        <w:t>4. Centralized Dimensions &amp; Corner Radius</w:t>
      </w:r>
    </w:p>
    <w:p>
      <w:r>
        <w:t>All visual spaces are mapped to a geometric factor of 4. This ensures flawless alignment across both mobile screens and wider landing page canvases.</w:t>
      </w:r>
    </w:p>
    <w:p>
      <w:r>
        <w:rPr>
          <w:b/>
        </w:rPr>
        <w:t>Unified Dimensions Matrix:</w:t>
        <w:br/>
      </w:r>
      <w:r>
        <w:rPr>
          <w:b/>
        </w:rPr>
        <w:t xml:space="preserve">• Spacers &amp; Padding: </w:t>
      </w:r>
      <w:r>
        <w:t>xs (4.0px) | sm (8.0px) | md (12.0px) | lg (16.0px) | xl (20.0px) | xxl (24.0px) | xxxl (32.0px)</w:t>
        <w:br/>
      </w:r>
      <w:r>
        <w:rPr>
          <w:b/>
        </w:rPr>
        <w:t xml:space="preserve">• Corner Radiuses: </w:t>
      </w:r>
      <w:r>
        <w:t>rXs (4.0px) | rSm (8.0px) | rMd (12.0px) | rLg (14.0px) | rXl (16.0px) | rXxl (18.0px) | r3Xl (24.0px)</w:t>
        <w:br/>
      </w:r>
      <w:r>
        <w:rPr>
          <w:b/>
        </w:rPr>
        <w:t xml:space="preserve">• Interactive Heights: </w:t>
      </w:r>
      <w:r>
        <w:t>App Bar (56.0px) | Bottom Bar (64.0px) | Primary Buttons (54.0px)</w:t>
        <w:br/>
      </w:r>
    </w:p>
    <w:p>
      <w:pPr>
        <w:pStyle w:val="Heading1"/>
      </w:pPr>
      <w:r>
        <w:rPr>
          <w:color w:val="1A365D"/>
          <w:sz w:val="36"/>
        </w:rPr>
        <w:t>5. Gradients &amp; Shadow Architecture</w:t>
      </w:r>
    </w:p>
    <w:p>
      <w:r>
        <w:t>Gradients are used strictly for high-visibility summary containers, primary action cards, and progress tracks. Shadows utilize subtle translucent values to establish distinct layer depths without visual clutter.</w:t>
      </w:r>
    </w:p>
    <w:p>
      <w:r>
        <w:rPr>
          <w:b/>
        </w:rPr>
        <w:t>Visual Elements Specs:</w:t>
        <w:br/>
      </w:r>
      <w:r>
        <w:rPr>
          <w:b/>
        </w:rPr>
        <w:t xml:space="preserve">• Primary Brand Gradient: </w:t>
      </w:r>
      <w:r>
        <w:t>seedColor to seedColor.withBlue(220) from Top-Left to Bottom-Right.</w:t>
        <w:br/>
      </w:r>
      <w:r>
        <w:rPr>
          <w:b/>
        </w:rPr>
        <w:t xml:space="preserve">• Functional Success Gradient: </w:t>
      </w:r>
      <w:r>
        <w:t>#10B981 to #059669 (Emerald linear blend).</w:t>
        <w:br/>
      </w:r>
      <w:r>
        <w:rPr>
          <w:b/>
        </w:rPr>
        <w:t xml:space="preserve">• Soft Card Shadows: </w:t>
      </w:r>
      <w:r>
        <w:t>Black with 3% Opacity, Blur: 10px, Offset: (0, 4px) to represent natural elevation.</w:t>
        <w:br/>
      </w:r>
      <w:r>
        <w:rPr>
          <w:b/>
        </w:rPr>
        <w:t xml:space="preserve">• High Intensity Brand Glow: </w:t>
      </w:r>
      <w:r>
        <w:t>Primary Color with 15% Opacity, Blur: 20px, Offset: (0, 4px), Spread: 2px.</w:t>
        <w:br/>
      </w:r>
    </w:p>
    <w:p>
      <w:pPr>
        <w:pStyle w:val="Heading1"/>
      </w:pPr>
      <w:r>
        <w:rPr>
          <w:color w:val="1A365D"/>
          <w:sz w:val="36"/>
        </w:rPr>
        <w:t>6. Transition Durations &amp; Animation Curves</w:t>
      </w:r>
    </w:p>
    <w:p>
      <w:r>
        <w:t>User interactions are accompanied by micro-animations defined under AppAnimations. The system uses Fast (150ms) for instant feedback like clicks, Medium (300ms) for modal cards, and Slow (500ms) for major page navigation. The default animation curve is Curves.fastOutSlowIn for a premium startup-quality feel.</w:t>
      </w:r>
    </w:p>
    <w:p>
      <w:pPr>
        <w:pStyle w:val="Heading1"/>
      </w:pPr>
      <w:r>
        <w:rPr>
          <w:color w:val="1A365D"/>
          <w:sz w:val="36"/>
        </w:rPr>
        <w:t>7. Centralized Architecture Files</w:t>
      </w:r>
    </w:p>
    <w:p>
      <w:r>
        <w:t>The following files have been integrated under lib/core/theme/ to organize the design system and enable seamless updates across all mobile and web platform interfaces:</w:t>
        <w:br/>
      </w:r>
    </w:p>
    <w:p>
      <w:r>
        <w:rPr>
          <w:b/>
        </w:rPr>
        <w:t xml:space="preserve">• app_colors.dart: </w:t>
      </w:r>
      <w:r>
        <w:t>Defines the brand palettes, neutrals, accents, and light/dark modes surface layers.</w:t>
      </w:r>
    </w:p>
    <w:p>
      <w:r>
        <w:rPr>
          <w:b/>
        </w:rPr>
        <w:t xml:space="preserve">• app_gradients.dart: </w:t>
      </w:r>
      <w:r>
        <w:t>Pre-configured linear gradients for cards, charts, and functional elements.</w:t>
      </w:r>
    </w:p>
    <w:p>
      <w:r>
        <w:rPr>
          <w:b/>
        </w:rPr>
        <w:t xml:space="preserve">• app_text_styles.dart: </w:t>
      </w:r>
      <w:r>
        <w:t>Centralized Google Fonts mappings for consistent cross-platform rendering.</w:t>
      </w:r>
    </w:p>
    <w:p>
      <w:r>
        <w:rPr>
          <w:b/>
        </w:rPr>
        <w:t xml:space="preserve">• app_shadows.dart: </w:t>
      </w:r>
      <w:r>
        <w:t>Predefined light &amp; intense elevation depths using refined opacity profiles.</w:t>
      </w:r>
    </w:p>
    <w:p>
      <w:r>
        <w:rPr>
          <w:b/>
        </w:rPr>
        <w:t xml:space="preserve">• app_dimensions.dart: </w:t>
      </w:r>
      <w:r>
        <w:t>Establishes layout parameters, borders, icons, and page offsets.</w:t>
      </w:r>
    </w:p>
    <w:p>
      <w:r>
        <w:rPr>
          <w:b/>
        </w:rPr>
        <w:t xml:space="preserve">• app_animations.dart: </w:t>
      </w:r>
      <w:r>
        <w:t>Maintains timing constants and animation curves for natural tactile responses.</w:t>
      </w:r>
    </w:p>
    <w:p>
      <w:r>
        <w:rPr>
          <w:b/>
        </w:rPr>
        <w:t xml:space="preserve">• app_theme.dart: </w:t>
      </w:r>
      <w:r>
        <w:t>Aggregates all specifications into unified dark/light MaterialApp ThemeData classes, keeping backward-compatible exports.</w:t>
      </w:r>
    </w:p>
    <w:p>
      <w:r>
        <w:br/>
      </w:r>
    </w:p>
    <w:p>
      <w:pPr>
        <w:jc w:val="right"/>
      </w:pPr>
      <w:r>
        <w:rPr>
          <w:b/>
        </w:rPr>
        <w:t>Prepared for Karan - Trust Tracker Lead</w:t>
        <w:br/>
      </w:r>
      <w:r>
        <w:t>Generated by Antigravity Design Agent</w:t>
        <w:br/>
      </w:r>
      <w:r>
        <w:t>Status: Production-Ready Design centralisation complete.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