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D4ED8"/>
          <w:spacing w:val="40"/>
          <w:sz w:val="18"/>
          <w:szCs w:val="18"/>
        </w:rPr>
        <w:t xml:space="preserve">APNILEAP MINI-PROJECT PROGRAMME</w:t>
      </w:r>
    </w:p>
    <w:p>
      <w:pPr>
        <w:spacing w:after="80"/>
      </w:pPr>
      <w:r>
        <w:rPr>
          <w:b/>
          <w:bCs/>
          <w:color w:val="10203A"/>
          <w:sz w:val="44"/>
          <w:szCs w:val="44"/>
        </w:rPr>
        <w:t xml:space="preserve">Mini-Project Portfolio Monitoring Portal</w:t>
      </w:r>
    </w:p>
    <w:p>
      <w:pPr>
        <w:pBdr>
          <w:bottom w:val="single" w:color="1D4ED8" w:sz="12" w:space="10"/>
        </w:pBdr>
        <w:spacing w:after="200"/>
      </w:pPr>
      <w:r>
        <w:rPr>
          <w:color w:val="55637A"/>
          <w:sz w:val="28"/>
          <w:szCs w:val="28"/>
        </w:rPr>
        <w:t xml:space="preserve">Setup and Run Guide</w:t>
      </w:r>
    </w:p>
    <w:tbl>
      <w:tblPr>
        <w:tblW w:type="dxa" w:w="10080"/>
        <w:tblBorders>
          <w:top w:val="single" w:color="DFE4EC" w:sz="4"/>
          <w:left w:val="single" w:color="DFE4EC" w:sz="4"/>
          <w:bottom w:val="single" w:color="DFE4EC" w:sz="4"/>
          <w:right w:val="single" w:color="DFE4EC" w:sz="4"/>
          <w:insideH w:val="single" w:color="DFE4EC" w:sz="4"/>
          <w:insideV w:val="single" w:color="DFE4EC" w:sz="4"/>
        </w:tblBorders>
      </w:tblPr>
      <w:tblGrid>
        <w:gridCol w:w="2400"/>
        <w:gridCol w:w="7680"/>
      </w:tblGrid>
      <w:tr>
        <w:trPr>
          <w:tblHeader/>
        </w:trPr>
        <w:tc>
          <w:tcPr>
            <w:tcW w:type="dxa" w:w="2400"/>
            <w:shd w:fill="E8EEFC" w:color="auto" w:val="clear"/>
            <w:tcMar>
              <w:top w:type="dxa" w:w="90"/>
              <w:left w:type="dxa" w:w="130"/>
              <w:bottom w:type="dxa" w:w="90"/>
              <w:right w:type="dxa" w:w="130"/>
            </w:tcMar>
          </w:tcPr>
          <w:p>
            <w:pPr>
              <w:spacing w:after="0" w:line="264"/>
            </w:pPr>
            <w:r>
              <w:rPr>
                <w:b/>
                <w:bCs/>
                <w:color w:val="16202C"/>
                <w:sz w:val="19"/>
                <w:szCs w:val="19"/>
              </w:rPr>
              <w:t xml:space="preserve">Item</w:t>
            </w:r>
          </w:p>
        </w:tc>
        <w:tc>
          <w:tcPr>
            <w:tcW w:type="dxa" w:w="7680"/>
            <w:shd w:fill="E8EEFC" w:color="auto" w:val="clear"/>
            <w:tcMar>
              <w:top w:type="dxa" w:w="90"/>
              <w:left w:type="dxa" w:w="130"/>
              <w:bottom w:type="dxa" w:w="90"/>
              <w:right w:type="dxa" w:w="130"/>
            </w:tcMar>
          </w:tcPr>
          <w:p>
            <w:pPr>
              <w:spacing w:after="0" w:line="264"/>
            </w:pPr>
            <w:r>
              <w:rPr>
                <w:b/>
                <w:bCs/>
                <w:color w:val="16202C"/>
                <w:sz w:val="19"/>
                <w:szCs w:val="19"/>
              </w:rPr>
              <w:t xml:space="preserve">Detail</w:t>
            </w:r>
          </w:p>
        </w:tc>
      </w:tr>
      <w:tr>
        <w:tc>
          <w:tcPr>
            <w:tcW w:type="dxa" w:w="2400"/>
            <w:tcMar>
              <w:top w:type="dxa" w:w="90"/>
              <w:left w:type="dxa" w:w="130"/>
              <w:bottom w:type="dxa" w:w="90"/>
              <w:right w:type="dxa" w:w="130"/>
            </w:tcMar>
          </w:tcPr>
          <w:p>
            <w:pPr>
              <w:spacing w:after="0" w:line="264"/>
            </w:pPr>
            <w:r>
              <w:rPr>
                <w:b w:val="false"/>
                <w:bCs w:val="false"/>
                <w:color w:val="16202C"/>
                <w:sz w:val="19"/>
                <w:szCs w:val="19"/>
              </w:rPr>
              <w:t xml:space="preserve">Project folder</w:t>
            </w:r>
          </w:p>
        </w:tc>
        <w:tc>
          <w:tcPr>
            <w:tcW w:type="dxa" w:w="7680"/>
            <w:tcMar>
              <w:top w:type="dxa" w:w="90"/>
              <w:left w:type="dxa" w:w="130"/>
              <w:bottom w:type="dxa" w:w="90"/>
              <w:right w:type="dxa" w:w="130"/>
            </w:tcMar>
          </w:tcPr>
          <w:p>
            <w:pPr>
              <w:spacing w:after="0" w:line="264"/>
            </w:pPr>
            <w:r>
              <w:rPr>
                <w:b w:val="false"/>
                <w:bCs w:val="false"/>
                <w:color w:val="16202C"/>
                <w:sz w:val="19"/>
                <w:szCs w:val="19"/>
              </w:rPr>
              <w:t xml:space="preserve">D:\Claude Projects\ApniLeap Mini Project v2</w:t>
            </w:r>
          </w:p>
        </w:tc>
      </w:tr>
      <w:tr>
        <w:tc>
          <w:tcPr>
            <w:tcW w:type="dxa" w:w="2400"/>
            <w:tcMar>
              <w:top w:type="dxa" w:w="90"/>
              <w:left w:type="dxa" w:w="130"/>
              <w:bottom w:type="dxa" w:w="90"/>
              <w:right w:type="dxa" w:w="130"/>
            </w:tcMar>
          </w:tcPr>
          <w:p>
            <w:pPr>
              <w:spacing w:after="0" w:line="264"/>
            </w:pPr>
            <w:r>
              <w:rPr>
                <w:b w:val="false"/>
                <w:bCs w:val="false"/>
                <w:color w:val="16202C"/>
                <w:sz w:val="19"/>
                <w:szCs w:val="19"/>
              </w:rPr>
              <w:t xml:space="preserve">Application URL</w:t>
            </w:r>
          </w:p>
        </w:tc>
        <w:tc>
          <w:tcPr>
            <w:tcW w:type="dxa" w:w="7680"/>
            <w:tcMar>
              <w:top w:type="dxa" w:w="90"/>
              <w:left w:type="dxa" w:w="130"/>
              <w:bottom w:type="dxa" w:w="90"/>
              <w:right w:type="dxa" w:w="130"/>
            </w:tcMar>
          </w:tcPr>
          <w:p>
            <w:pPr>
              <w:spacing w:after="0" w:line="264"/>
            </w:pPr>
            <w:r>
              <w:rPr>
                <w:b w:val="false"/>
                <w:bCs w:val="false"/>
                <w:color w:val="16202C"/>
                <w:sz w:val="19"/>
                <w:szCs w:val="19"/>
              </w:rPr>
              <w:t xml:space="preserve">http://localhost:5173</w:t>
            </w:r>
          </w:p>
        </w:tc>
      </w:tr>
      <w:tr>
        <w:tc>
          <w:tcPr>
            <w:tcW w:type="dxa" w:w="2400"/>
            <w:tcMar>
              <w:top w:type="dxa" w:w="90"/>
              <w:left w:type="dxa" w:w="130"/>
              <w:bottom w:type="dxa" w:w="90"/>
              <w:right w:type="dxa" w:w="130"/>
            </w:tcMar>
          </w:tcPr>
          <w:p>
            <w:pPr>
              <w:spacing w:after="0" w:line="264"/>
            </w:pPr>
            <w:r>
              <w:rPr>
                <w:b w:val="false"/>
                <w:bCs w:val="false"/>
                <w:color w:val="16202C"/>
                <w:sz w:val="19"/>
                <w:szCs w:val="19"/>
              </w:rPr>
              <w:t xml:space="preserve">API URL</w:t>
            </w:r>
          </w:p>
        </w:tc>
        <w:tc>
          <w:tcPr>
            <w:tcW w:type="dxa" w:w="7680"/>
            <w:tcMar>
              <w:top w:type="dxa" w:w="90"/>
              <w:left w:type="dxa" w:w="130"/>
              <w:bottom w:type="dxa" w:w="90"/>
              <w:right w:type="dxa" w:w="130"/>
            </w:tcMar>
          </w:tcPr>
          <w:p>
            <w:pPr>
              <w:spacing w:after="0" w:line="264"/>
            </w:pPr>
            <w:r>
              <w:rPr>
                <w:b w:val="false"/>
                <w:bCs w:val="false"/>
                <w:color w:val="16202C"/>
                <w:sz w:val="19"/>
                <w:szCs w:val="19"/>
              </w:rPr>
              <w:t xml:space="preserve">http://localhost:4000  (used by the app; you do not open it directly)</w:t>
            </w:r>
          </w:p>
        </w:tc>
      </w:tr>
      <w:tr>
        <w:tc>
          <w:tcPr>
            <w:tcW w:type="dxa" w:w="2400"/>
            <w:tcMar>
              <w:top w:type="dxa" w:w="90"/>
              <w:left w:type="dxa" w:w="130"/>
              <w:bottom w:type="dxa" w:w="90"/>
              <w:right w:type="dxa" w:w="130"/>
            </w:tcMar>
          </w:tcPr>
          <w:p>
            <w:pPr>
              <w:spacing w:after="0" w:line="264"/>
            </w:pPr>
            <w:r>
              <w:rPr>
                <w:b w:val="false"/>
                <w:bCs w:val="false"/>
                <w:color w:val="16202C"/>
                <w:sz w:val="19"/>
                <w:szCs w:val="19"/>
              </w:rPr>
              <w:t xml:space="preserve">Requirement</w:t>
            </w:r>
          </w:p>
        </w:tc>
        <w:tc>
          <w:tcPr>
            <w:tcW w:type="dxa" w:w="7680"/>
            <w:tcMar>
              <w:top w:type="dxa" w:w="90"/>
              <w:left w:type="dxa" w:w="130"/>
              <w:bottom w:type="dxa" w:w="90"/>
              <w:right w:type="dxa" w:w="130"/>
            </w:tcMar>
          </w:tcPr>
          <w:p>
            <w:pPr>
              <w:spacing w:after="0" w:line="264"/>
            </w:pPr>
            <w:r>
              <w:rPr>
                <w:b w:val="false"/>
                <w:bCs w:val="false"/>
                <w:color w:val="16202C"/>
                <w:sz w:val="19"/>
                <w:szCs w:val="19"/>
              </w:rPr>
              <w:t xml:space="preserve">Node.js version 22 or later</w:t>
            </w:r>
          </w:p>
        </w:tc>
      </w:tr>
      <w:tr>
        <w:tc>
          <w:tcPr>
            <w:tcW w:type="dxa" w:w="2400"/>
            <w:tcMar>
              <w:top w:type="dxa" w:w="90"/>
              <w:left w:type="dxa" w:w="130"/>
              <w:bottom w:type="dxa" w:w="90"/>
              <w:right w:type="dxa" w:w="130"/>
            </w:tcMar>
          </w:tcPr>
          <w:p>
            <w:pPr>
              <w:spacing w:after="0" w:line="264"/>
            </w:pPr>
            <w:r>
              <w:rPr>
                <w:b w:val="false"/>
                <w:bCs w:val="false"/>
                <w:color w:val="16202C"/>
                <w:sz w:val="19"/>
                <w:szCs w:val="19"/>
              </w:rPr>
              <w:t xml:space="preserve">Demo password</w:t>
            </w:r>
          </w:p>
        </w:tc>
        <w:tc>
          <w:tcPr>
            <w:tcW w:type="dxa" w:w="7680"/>
            <w:tcMar>
              <w:top w:type="dxa" w:w="90"/>
              <w:left w:type="dxa" w:w="130"/>
              <w:bottom w:type="dxa" w:w="90"/>
              <w:right w:type="dxa" w:w="130"/>
            </w:tcMar>
          </w:tcPr>
          <w:p>
            <w:pPr>
              <w:spacing w:after="0" w:line="264"/>
            </w:pPr>
            <w:r>
              <w:rPr>
                <w:b w:val="false"/>
                <w:bCs w:val="false"/>
                <w:color w:val="16202C"/>
                <w:sz w:val="19"/>
                <w:szCs w:val="19"/>
              </w:rPr>
              <w:t xml:space="preserve">Passw0rd!2026  (applies to every demonstration account)</w:t>
            </w:r>
          </w:p>
        </w:tc>
      </w:tr>
    </w:tbl>
    <w:p>
      <w:pPr>
        <w:spacing w:after="240"/>
      </w:pPr>
    </w:p>
    <w:tbl>
      <w:tblPr>
        <w:tblW w:type="dxa" w:w="10080"/>
        <w:tblBorders>
          <w:top w:val="single" w:color="DFE4EC" w:sz="4"/>
          <w:left w:val="single" w:color="197B45" w:sz="18"/>
          <w:bottom w:val="single" w:color="DFE4EC" w:sz="4"/>
          <w:right w:val="single" w:color="DFE4EC" w:sz="4"/>
          <w:insideH w:val="none" w:color="auto" w:sz="0"/>
          <w:insideV w:val="none" w:color="auto" w:sz="0"/>
        </w:tblBorders>
      </w:tblPr>
      <w:tblGrid>
        <w:gridCol w:w="10080"/>
      </w:tblGrid>
      <w:tr>
        <w:tc>
          <w:tcPr>
            <w:tcW w:type="dxa" w:w="10080"/>
            <w:shd w:fill="FAFBFD" w:color="auto" w:val="clear"/>
            <w:tcMar>
              <w:top w:type="dxa" w:w="130"/>
              <w:left w:type="dxa" w:w="180"/>
              <w:bottom w:type="dxa" w:w="130"/>
              <w:right w:type="dxa" w:w="160"/>
            </w:tcMar>
          </w:tcPr>
          <w:p>
            <w:pPr>
              <w:spacing w:after="70"/>
            </w:pPr>
            <w:r>
              <w:rPr>
                <w:b/>
                <w:bCs/>
                <w:caps/>
                <w:color w:val="197B45"/>
                <w:sz w:val="19"/>
                <w:szCs w:val="19"/>
              </w:rPr>
              <w:t xml:space="preserve">Already running?</w:t>
            </w:r>
          </w:p>
          <w:p>
            <w:pPr>
              <w:spacing w:after="0" w:line="264"/>
            </w:pPr>
            <w:r>
              <w:rPr>
                <w:color w:val="16202C"/>
                <w:sz w:val="20"/>
                <w:szCs w:val="20"/>
              </w:rPr>
              <w:t xml:space="preserve">If the two terminals from the build session are still open, the portal is live right now. Just open a browser at http://localhost:5173 and sign in. Sections 1 and 2 are only needed on a fresh machine.</w:t>
            </w:r>
          </w:p>
        </w:tc>
      </w:tr>
    </w:tbl>
    <w:p>
      <w:pPr>
        <w:pStyle w:val="Heading1"/>
        <w:pBdr>
          <w:bottom w:val="single" w:color="DFE4EC" w:sz="8" w:space="6"/>
        </w:pBdr>
        <w:spacing w:after="160" w:before="380"/>
      </w:pPr>
      <w:r>
        <w:rPr>
          <w:b/>
          <w:bCs/>
          <w:color w:val="10203A"/>
          <w:sz w:val="30"/>
          <w:szCs w:val="30"/>
        </w:rPr>
        <w:t xml:space="preserve">1. Before you start</w:t>
      </w:r>
    </w:p>
    <w:p>
      <w:pPr>
        <w:spacing w:after="240" w:line="288"/>
      </w:pPr>
      <w:r>
        <w:rPr>
          <w:i/>
          <w:iCs/>
          <w:color w:val="55637A"/>
          <w:sz w:val="22"/>
          <w:szCs w:val="22"/>
        </w:rPr>
        <w:t xml:space="preserve">One prerequisite, and one quirk of this particular folder that will waste your time if you do not know about it.</w:t>
      </w:r>
    </w:p>
    <w:p>
      <w:pPr>
        <w:pStyle w:val="Heading2"/>
        <w:spacing w:after="110" w:before="260"/>
      </w:pPr>
      <w:r>
        <w:rPr>
          <w:b/>
          <w:bCs/>
          <w:color w:val="10203A"/>
          <w:sz w:val="24"/>
          <w:szCs w:val="24"/>
        </w:rPr>
        <w:t xml:space="preserve">Check that Node.js is installed</w:t>
      </w:r>
    </w:p>
    <w:p>
      <w:pPr>
        <w:spacing w:after="140" w:line="276"/>
      </w:pPr>
      <w:r>
        <w:rPr>
          <w:color w:val="16202C"/>
          <w:sz w:val="21"/>
          <w:szCs w:val="21"/>
        </w:rPr>
        <w:t xml:space="preserve">Open a terminal (Windows Terminal, PowerShell or Command Prompt) and run:</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node -v</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-v</w:t>
      </w:r>
    </w:p>
    <w:p>
      <w:pPr>
        <w:spacing w:after="140" w:line="276"/>
      </w:pPr>
      <w:r>
        <w:rPr>
          <w:color w:val="16202C"/>
          <w:sz w:val="21"/>
          <w:szCs w:val="21"/>
        </w:rPr>
        <w:t xml:space="preserve">You should see a version of 22 or higher for Node. If the command is not recognised, install Node.js from nodejs.org and open a new terminal afterwards.</w:t>
      </w:r>
    </w:p>
    <w:p>
      <w:pPr>
        <w:spacing w:after="120"/>
      </w:pPr>
    </w:p>
    <w:tbl>
      <w:tblPr>
        <w:tblW w:type="dxa" w:w="10080"/>
        <w:tblBorders>
          <w:top w:val="single" w:color="DFE4EC" w:sz="4"/>
          <w:left w:val="single" w:color="8A5A00" w:sz="18"/>
          <w:bottom w:val="single" w:color="DFE4EC" w:sz="4"/>
          <w:right w:val="single" w:color="DFE4EC" w:sz="4"/>
          <w:insideH w:val="none" w:color="auto" w:sz="0"/>
          <w:insideV w:val="none" w:color="auto" w:sz="0"/>
        </w:tblBorders>
      </w:tblPr>
      <w:tblGrid>
        <w:gridCol w:w="10080"/>
      </w:tblGrid>
      <w:tr>
        <w:tc>
          <w:tcPr>
            <w:tcW w:type="dxa" w:w="10080"/>
            <w:shd w:fill="FAFBFD" w:color="auto" w:val="clear"/>
            <w:tcMar>
              <w:top w:type="dxa" w:w="130"/>
              <w:left w:type="dxa" w:w="180"/>
              <w:bottom w:type="dxa" w:w="130"/>
              <w:right w:type="dxa" w:w="160"/>
            </w:tcMar>
          </w:tcPr>
          <w:p>
            <w:pPr>
              <w:spacing w:after="70"/>
            </w:pPr>
            <w:r>
              <w:rPr>
                <w:b/>
                <w:bCs/>
                <w:caps/>
                <w:color w:val="8A5A00"/>
                <w:sz w:val="19"/>
                <w:szCs w:val="19"/>
              </w:rPr>
              <w:t xml:space="preserve">Important: where to run npm install</w:t>
            </w:r>
          </w:p>
          <w:p>
            <w:pPr>
              <w:spacing w:after="70" w:line="264"/>
            </w:pPr>
            <w:r>
              <w:rPr>
                <w:color w:val="16202C"/>
                <w:sz w:val="20"/>
                <w:szCs w:val="20"/>
              </w:rPr>
              <w:t xml:space="preserve">Always run npm install from inside the server and web folders — never from the project root using --prefix.</w:t>
            </w:r>
          </w:p>
          <w:p>
            <w:pPr>
              <w:spacing w:after="0" w:line="264"/>
            </w:pPr>
            <w:r>
              <w:rPr>
                <w:color w:val="16202C"/>
                <w:sz w:val="20"/>
                <w:szCs w:val="20"/>
              </w:rPr>
              <w:t xml:space="preserve">The parent folder D:\Claude Projects contains an unrelated package.json, and npm’s prefix handling reads it instead, which makes the install fail with "Cannot read properties of undefined (reading ‘spec’)". The commands in this guide already account for this.</w:t>
            </w:r>
          </w:p>
        </w:tc>
      </w:tr>
    </w:tbl>
    <w:p>
      <w:pPr>
        <w:pStyle w:val="Heading1"/>
        <w:pBdr>
          <w:bottom w:val="single" w:color="DFE4EC" w:sz="8" w:space="6"/>
        </w:pBdr>
        <w:spacing w:after="160" w:before="380"/>
      </w:pPr>
      <w:r>
        <w:rPr>
          <w:b/>
          <w:bCs/>
          <w:color w:val="10203A"/>
          <w:sz w:val="30"/>
          <w:szCs w:val="30"/>
        </w:rPr>
        <w:t xml:space="preserve">2. First-time setup</w:t>
      </w:r>
    </w:p>
    <w:p>
      <w:pPr>
        <w:spacing w:after="240" w:line="288"/>
      </w:pPr>
      <w:r>
        <w:rPr>
          <w:i/>
          <w:iCs/>
          <w:color w:val="55637A"/>
          <w:sz w:val="22"/>
          <w:szCs w:val="22"/>
        </w:rPr>
        <w:t xml:space="preserve">Run these three steps once per machine. Skip this section if the project has already been set up here.</w:t>
      </w:r>
    </w:p>
    <w:p>
      <w:pPr>
        <w:pStyle w:val="ListParagraph"/>
        <w:numPr>
          <w:ilvl w:val="0"/>
          <w:numId w:val="2"/>
        </w:numPr>
        <w:spacing w:after="110" w:line="276"/>
      </w:pPr>
      <w:r>
        <w:rPr>
          <w:color w:val="16202C"/>
          <w:sz w:val="21"/>
          <w:szCs w:val="21"/>
        </w:rPr>
        <w:t xml:space="preserve">Install the backend dependencies and create the database.</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cd "D:\Claude Projects\ApniLeap Mini Project v2\server"</w:t>
      </w:r>
    </w:p>
    <w:p>
      <w:pPr>
        <w:pBdr>
          <w:left w:val="single" w:color="1D4ED8" w:sz="12" w:space="8"/>
        </w:pBdr>
        <w:shd w:fill="F4F6FA" w:color="auto" w:val="clear"/>
        <w:spacing w:after="0" w:before="0" w:line="264"/>
        <w:ind w:left="220" w:right="220"/>
      </w:pPr>
      <w:r>
        <w:rPr>
          <w:rFonts w:ascii="Consolas" w:cs="Consolas" w:eastAsia="Consolas" w:hAnsi="Consolas"/>
          <w:color w:val="1B2B45"/>
          <w:sz w:val="19"/>
          <w:szCs w:val="19"/>
        </w:rPr>
        <w:t xml:space="preserve">npm install</w:t>
      </w:r>
    </w:p>
    <w:p>
      <w:pPr>
        <w:pBdr>
          <w:left w:val="single" w:color="1D4ED8" w:sz="12" w:space="8"/>
        </w:pBdr>
        <w:shd w:fill="F4F6FA" w:color="auto" w:val="clear"/>
        <w:spacing w:after="0" w:before="0" w:line="264"/>
        <w:ind w:left="220" w:right="220"/>
      </w:pPr>
      <w:r>
        <w:rPr>
          <w:rFonts w:ascii="Consolas" w:cs="Consolas" w:eastAsia="Consolas" w:hAnsi="Consolas"/>
          <w:color w:val="1B2B45"/>
          <w:sz w:val="19"/>
          <w:szCs w:val="19"/>
        </w:rPr>
        <w:t xml:space="preserve">copy .env.example .env</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run seed</w:t>
      </w:r>
    </w:p>
    <w:p>
      <w:pPr>
        <w:spacing w:after="140" w:line="276"/>
      </w:pPr>
      <w:r>
        <w:rPr>
          <w:color w:val="16202C"/>
          <w:sz w:val="21"/>
          <w:szCs w:val="21"/>
        </w:rPr>
        <w:t xml:space="preserve">The seed step prints a confirmation listing 5 institutes, 9 departments, 16 users and 10 projects, followed by the demonstration account list.</w:t>
      </w:r>
    </w:p>
    <w:p>
      <w:pPr>
        <w:pStyle w:val="ListParagraph"/>
        <w:numPr>
          <w:ilvl w:val="0"/>
          <w:numId w:val="2"/>
        </w:numPr>
        <w:spacing w:after="110" w:line="276"/>
      </w:pPr>
      <w:r>
        <w:rPr>
          <w:color w:val="16202C"/>
          <w:sz w:val="21"/>
          <w:szCs w:val="21"/>
        </w:rPr>
        <w:t xml:space="preserve">Install the front-end dependencies.</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cd "D:\Claude Projects\ApniLeap Mini Project v2\web"</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install</w:t>
      </w:r>
    </w:p>
    <w:p>
      <w:pPr>
        <w:pStyle w:val="ListParagraph"/>
        <w:numPr>
          <w:ilvl w:val="0"/>
          <w:numId w:val="2"/>
        </w:numPr>
        <w:spacing w:after="110" w:line="276"/>
      </w:pPr>
      <w:r>
        <w:rPr>
          <w:color w:val="16202C"/>
          <w:sz w:val="21"/>
          <w:szCs w:val="21"/>
        </w:rPr>
        <w:t xml:space="preserve">Confirm the test suite passes. This is optional, but it is the quickest proof that the backend is healthy.</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cd "D:\Claude Projects\ApniLeap Mini Project v2\server"</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test</w:t>
      </w:r>
    </w:p>
    <w:p>
      <w:pPr>
        <w:spacing w:after="140" w:line="276"/>
      </w:pPr>
      <w:r>
        <w:rPr>
          <w:color w:val="16202C"/>
          <w:sz w:val="21"/>
          <w:szCs w:val="21"/>
        </w:rPr>
        <w:t xml:space="preserve">Expected result: 26 tests, 26 passing, 0 failing.</w:t>
      </w:r>
    </w:p>
    <w:p>
      <w:pPr>
        <w:spacing w:after="100"/>
      </w:pPr>
    </w:p>
    <w:tbl>
      <w:tblPr>
        <w:tblW w:type="dxa" w:w="10080"/>
        <w:tblBorders>
          <w:top w:val="single" w:color="DFE4EC" w:sz="4"/>
          <w:left w:val="single" w:color="1D4ED8" w:sz="18"/>
          <w:bottom w:val="single" w:color="DFE4EC" w:sz="4"/>
          <w:right w:val="single" w:color="DFE4EC" w:sz="4"/>
          <w:insideH w:val="none" w:color="auto" w:sz="0"/>
          <w:insideV w:val="none" w:color="auto" w:sz="0"/>
        </w:tblBorders>
      </w:tblPr>
      <w:tblGrid>
        <w:gridCol w:w="10080"/>
      </w:tblGrid>
      <w:tr>
        <w:tc>
          <w:tcPr>
            <w:tcW w:type="dxa" w:w="10080"/>
            <w:shd w:fill="FAFBFD" w:color="auto" w:val="clear"/>
            <w:tcMar>
              <w:top w:type="dxa" w:w="130"/>
              <w:left w:type="dxa" w:w="180"/>
              <w:bottom w:type="dxa" w:w="130"/>
              <w:right w:type="dxa" w:w="160"/>
            </w:tcMar>
          </w:tcPr>
          <w:p>
            <w:pPr>
              <w:spacing w:after="70"/>
            </w:pPr>
            <w:r>
              <w:rPr>
                <w:b/>
                <w:bCs/>
                <w:caps/>
                <w:color w:val="1D4ED8"/>
                <w:sz w:val="19"/>
                <w:szCs w:val="19"/>
              </w:rPr>
              <w:t xml:space="preserve">On Git Bash or macOS</w:t>
            </w:r>
          </w:p>
          <w:p>
            <w:pPr>
              <w:spacing w:after="0" w:line="264"/>
            </w:pPr>
            <w:r>
              <w:rPr>
                <w:color w:val="16202C"/>
                <w:sz w:val="20"/>
                <w:szCs w:val="20"/>
              </w:rPr>
              <w:t xml:space="preserve">Use cp .env.example .env instead of copy .env.example .env. Every other command is identical.</w:t>
            </w:r>
          </w:p>
        </w:tc>
      </w:tr>
    </w:tbl>
    <w:p>
      <w:r>
        <w:br w:type="page"/>
      </w:r>
    </w:p>
    <w:p>
      <w:pPr>
        <w:pStyle w:val="Heading1"/>
        <w:pBdr>
          <w:bottom w:val="single" w:color="DFE4EC" w:sz="8" w:space="6"/>
        </w:pBdr>
        <w:spacing w:after="160" w:before="380"/>
      </w:pPr>
      <w:r>
        <w:rPr>
          <w:b/>
          <w:bCs/>
          <w:color w:val="10203A"/>
          <w:sz w:val="30"/>
          <w:szCs w:val="30"/>
        </w:rPr>
        <w:t xml:space="preserve">3. Running the portal</w:t>
      </w:r>
    </w:p>
    <w:p>
      <w:pPr>
        <w:spacing w:after="240" w:line="288"/>
      </w:pPr>
      <w:r>
        <w:rPr>
          <w:i/>
          <w:iCs/>
          <w:color w:val="55637A"/>
          <w:sz w:val="22"/>
          <w:szCs w:val="22"/>
        </w:rPr>
        <w:t xml:space="preserve">The portal is two processes: an API and a web application. Both must be running.</w:t>
      </w:r>
    </w:p>
    <w:p>
      <w:pPr>
        <w:pStyle w:val="Heading2"/>
        <w:spacing w:after="110" w:before="260"/>
      </w:pPr>
      <w:r>
        <w:rPr>
          <w:b/>
          <w:bCs/>
          <w:color w:val="10203A"/>
          <w:sz w:val="24"/>
          <w:szCs w:val="24"/>
        </w:rPr>
        <w:t xml:space="preserve">Option A — both at once (recommended)</w:t>
      </w:r>
    </w:p>
    <w:p>
      <w:pPr>
        <w:spacing w:after="140" w:line="276"/>
      </w:pPr>
      <w:r>
        <w:rPr>
          <w:color w:val="16202C"/>
          <w:sz w:val="21"/>
          <w:szCs w:val="21"/>
        </w:rPr>
        <w:t xml:space="preserve">From the project root, one command starts both and labels their output:</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cd "D:\Claude Projects\ApniLeap Mini Project v2"</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run dev</w:t>
      </w:r>
    </w:p>
    <w:p>
      <w:pPr>
        <w:pStyle w:val="Heading2"/>
        <w:spacing w:after="110" w:before="260"/>
      </w:pPr>
      <w:r>
        <w:rPr>
          <w:b/>
          <w:bCs/>
          <w:color w:val="10203A"/>
          <w:sz w:val="24"/>
          <w:szCs w:val="24"/>
        </w:rPr>
        <w:t xml:space="preserve">Option B — two separate terminals</w:t>
      </w:r>
    </w:p>
    <w:p>
      <w:pPr>
        <w:spacing w:after="140" w:line="276"/>
      </w:pPr>
      <w:r>
        <w:rPr>
          <w:color w:val="16202C"/>
          <w:sz w:val="21"/>
          <w:szCs w:val="21"/>
        </w:rPr>
        <w:t xml:space="preserve">Useful when you want to restart one side without the other. In the first terminal:</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cd "D:\Claude Projects\ApniLeap Mini Project v2\server"</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run dev</w:t>
      </w:r>
    </w:p>
    <w:p>
      <w:pPr>
        <w:spacing w:after="140" w:line="276"/>
      </w:pPr>
      <w:r>
        <w:rPr>
          <w:color w:val="16202C"/>
          <w:sz w:val="21"/>
          <w:szCs w:val="21"/>
        </w:rPr>
        <w:t xml:space="preserve">In a second terminal:</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cd "D:\Claude Projects\ApniLeap Mini Project v2\web"</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run dev</w:t>
      </w:r>
    </w:p>
    <w:p>
      <w:pPr>
        <w:pStyle w:val="Heading2"/>
        <w:spacing w:after="110" w:before="260"/>
      </w:pPr>
      <w:r>
        <w:rPr>
          <w:b/>
          <w:bCs/>
          <w:color w:val="10203A"/>
          <w:sz w:val="24"/>
          <w:szCs w:val="24"/>
        </w:rPr>
        <w:t xml:space="preserve">What you should see</w:t>
      </w:r>
    </w:p>
    <w:p>
      <w:pPr>
        <w:spacing w:after="140" w:line="276"/>
      </w:pPr>
      <w:r>
        <w:rPr>
          <w:color w:val="16202C"/>
          <w:sz w:val="21"/>
          <w:szCs w:val="21"/>
        </w:rPr>
        <w:t xml:space="preserve">The API terminal prints its configuration:</w:t>
      </w:r>
    </w:p>
    <w:p>
      <w:pPr>
        <w:pBdr>
          <w:left w:val="single" w:color="1D4ED8" w:sz="12" w:space="8"/>
        </w:pBdr>
        <w:shd w:fill="F4F6FA" w:color="auto" w:val="clear"/>
        <w:spacing w:after="0" w:before="60" w:line="264"/>
        <w:ind w:left="220" w:right="220"/>
      </w:pPr>
      <w:r>
        <w:rPr>
          <w:rFonts w:ascii="Consolas" w:cs="Consolas" w:eastAsia="Consolas" w:hAnsi="Consolas"/>
          <w:color w:val="55637A"/>
          <w:sz w:val="19"/>
          <w:szCs w:val="19"/>
        </w:rPr>
        <w:t xml:space="preserve">Mini-Project Portfolio Portal API listening on http://localhost:4000</w:t>
      </w:r>
    </w:p>
    <w:p>
      <w:pPr>
        <w:pBdr>
          <w:left w:val="single" w:color="1D4ED8" w:sz="12" w:space="8"/>
        </w:pBdr>
        <w:shd w:fill="F4F6FA" w:color="auto" w:val="clear"/>
        <w:spacing w:after="0" w:before="0" w:line="264"/>
        <w:ind w:left="220" w:right="220"/>
      </w:pPr>
      <w:r>
        <w:rPr>
          <w:rFonts w:ascii="Consolas" w:cs="Consolas" w:eastAsia="Consolas" w:hAnsi="Consolas"/>
          <w:color w:val="55637A"/>
          <w:sz w:val="19"/>
          <w:szCs w:val="19"/>
        </w:rPr>
        <w:t xml:space="preserve">  environment : development</w:t>
      </w:r>
    </w:p>
    <w:p>
      <w:pPr>
        <w:pBdr>
          <w:left w:val="single" w:color="1D4ED8" w:sz="12" w:space="8"/>
        </w:pBdr>
        <w:shd w:fill="F4F6FA" w:color="auto" w:val="clear"/>
        <w:spacing w:after="0" w:before="0" w:line="264"/>
        <w:ind w:left="220" w:right="220"/>
      </w:pPr>
      <w:r>
        <w:rPr>
          <w:rFonts w:ascii="Consolas" w:cs="Consolas" w:eastAsia="Consolas" w:hAnsi="Consolas"/>
          <w:color w:val="55637A"/>
          <w:sz w:val="19"/>
          <w:szCs w:val="19"/>
        </w:rPr>
        <w:t xml:space="preserve">  database    : ...\server\data\portal.db</w:t>
      </w:r>
    </w:p>
    <w:p>
      <w:pPr>
        <w:pBdr>
          <w:left w:val="single" w:color="1D4ED8" w:sz="12" w:space="8"/>
        </w:pBdr>
        <w:shd w:fill="F4F6FA" w:color="auto" w:val="clear"/>
        <w:spacing w:after="0" w:before="0" w:line="264"/>
        <w:ind w:left="220" w:right="220"/>
      </w:pPr>
      <w:r>
        <w:rPr>
          <w:rFonts w:ascii="Consolas" w:cs="Consolas" w:eastAsia="Consolas" w:hAnsi="Consolas"/>
          <w:color w:val="55637A"/>
          <w:sz w:val="19"/>
          <w:szCs w:val="19"/>
        </w:rPr>
        <w:t xml:space="preserve">  web origin  : http://localhost:5173</w:t>
      </w:r>
    </w:p>
    <w:p>
      <w:pPr>
        <w:pBdr>
          <w:left w:val="single" w:color="1D4ED8" w:sz="12" w:space="8"/>
        </w:pBdr>
        <w:shd w:fill="F4F6FA" w:color="auto" w:val="clear"/>
        <w:spacing w:after="200" w:before="0" w:line="264"/>
        <w:ind w:left="220" w:right="220"/>
      </w:pPr>
      <w:r>
        <w:rPr>
          <w:rFonts w:ascii="Consolas" w:cs="Consolas" w:eastAsia="Consolas" w:hAnsi="Consolas"/>
          <w:color w:val="55637A"/>
          <w:sz w:val="19"/>
          <w:szCs w:val="19"/>
        </w:rPr>
        <w:t xml:space="preserve">  mail        : console</w:t>
      </w:r>
    </w:p>
    <w:p>
      <w:pPr>
        <w:spacing w:after="140" w:line="276"/>
      </w:pPr>
      <w:r>
        <w:rPr>
          <w:color w:val="16202C"/>
          <w:sz w:val="21"/>
          <w:szCs w:val="21"/>
        </w:rPr>
        <w:t xml:space="preserve">The web terminal prints:</w:t>
      </w:r>
    </w:p>
    <w:p>
      <w:pPr>
        <w:pBdr>
          <w:left w:val="single" w:color="1D4ED8" w:sz="12" w:space="8"/>
        </w:pBdr>
        <w:shd w:fill="F4F6FA" w:color="auto" w:val="clear"/>
        <w:spacing w:after="0" w:before="60" w:line="264"/>
        <w:ind w:left="220" w:right="220"/>
      </w:pPr>
      <w:r>
        <w:rPr>
          <w:rFonts w:ascii="Consolas" w:cs="Consolas" w:eastAsia="Consolas" w:hAnsi="Consolas"/>
          <w:color w:val="55637A"/>
          <w:sz w:val="19"/>
          <w:szCs w:val="19"/>
        </w:rPr>
        <w:t xml:space="preserve">VITE v6.4.3  ready in 354 ms</w:t>
      </w:r>
    </w:p>
    <w:p>
      <w:pPr>
        <w:pBdr>
          <w:left w:val="single" w:color="1D4ED8" w:sz="12" w:space="8"/>
        </w:pBdr>
        <w:shd w:fill="F4F6FA" w:color="auto" w:val="clear"/>
        <w:spacing w:after="200" w:before="0" w:line="264"/>
        <w:ind w:left="220" w:right="220"/>
      </w:pPr>
      <w:r>
        <w:rPr>
          <w:rFonts w:ascii="Consolas" w:cs="Consolas" w:eastAsia="Consolas" w:hAnsi="Consolas"/>
          <w:color w:val="55637A"/>
          <w:sz w:val="19"/>
          <w:szCs w:val="19"/>
        </w:rPr>
        <w:t xml:space="preserve">➜  Local:   http://localhost:5173/</w:t>
      </w:r>
    </w:p>
    <w:p>
      <w:pPr>
        <w:spacing w:after="140"/>
      </w:pPr>
    </w:p>
    <w:tbl>
      <w:tblPr>
        <w:tblW w:type="dxa" w:w="10080"/>
        <w:tblBorders>
          <w:top w:val="single" w:color="DFE4EC" w:sz="4"/>
          <w:left w:val="single" w:color="197B45" w:sz="18"/>
          <w:bottom w:val="single" w:color="DFE4EC" w:sz="4"/>
          <w:right w:val="single" w:color="DFE4EC" w:sz="4"/>
          <w:insideH w:val="none" w:color="auto" w:sz="0"/>
          <w:insideV w:val="none" w:color="auto" w:sz="0"/>
        </w:tblBorders>
      </w:tblPr>
      <w:tblGrid>
        <w:gridCol w:w="10080"/>
      </w:tblGrid>
      <w:tr>
        <w:tc>
          <w:tcPr>
            <w:tcW w:type="dxa" w:w="10080"/>
            <w:shd w:fill="FAFBFD" w:color="auto" w:val="clear"/>
            <w:tcMar>
              <w:top w:type="dxa" w:w="130"/>
              <w:left w:type="dxa" w:w="180"/>
              <w:bottom w:type="dxa" w:w="130"/>
              <w:right w:type="dxa" w:w="160"/>
            </w:tcMar>
          </w:tcPr>
          <w:p>
            <w:pPr>
              <w:spacing w:after="70"/>
            </w:pPr>
            <w:r>
              <w:rPr>
                <w:b/>
                <w:bCs/>
                <w:caps/>
                <w:color w:val="197B45"/>
                <w:sz w:val="19"/>
                <w:szCs w:val="19"/>
              </w:rPr>
              <w:t xml:space="preserve">Open the portal</w:t>
            </w:r>
          </w:p>
          <w:p>
            <w:pPr>
              <w:spacing w:after="70" w:line="264"/>
            </w:pPr>
            <w:r>
              <w:rPr>
                <w:color w:val="16202C"/>
                <w:sz w:val="22"/>
                <w:szCs w:val="22"/>
              </w:rPr>
              <w:t xml:space="preserve">Open a browser at </w:t>
            </w:r>
            <w:hyperlink w:history="1" r:id="rIdx06fg9xkhi7vocjgg1tbk">
              <w:r>
                <w:rPr>
                  <w:b/>
                  <w:bCs/>
                  <w:color w:val="1D4ED8"/>
                  <w:sz w:val="22"/>
                  <w:szCs w:val="22"/>
                  <w:u w:val="single"/>
                </w:rPr>
                <w:t xml:space="preserve">http://localhost:5173</w:t>
              </w:r>
            </w:hyperlink>
          </w:p>
          <w:p>
            <w:pPr>
              <w:spacing w:after="0" w:line="264"/>
            </w:pPr>
            <w:r>
              <w:rPr>
                <w:color w:val="16202C"/>
                <w:sz w:val="20"/>
                <w:szCs w:val="20"/>
              </w:rPr>
              <w:t xml:space="preserve">Leave both terminals open while you use the portal. Closing a terminal stops that process. Press Ctrl+C in a terminal to stop it deliberately.</w:t>
            </w:r>
          </w:p>
        </w:tc>
      </w:tr>
    </w:tbl>
    <w:p>
      <w:pPr>
        <w:pStyle w:val="Heading1"/>
        <w:pBdr>
          <w:bottom w:val="single" w:color="DFE4EC" w:sz="8" w:space="6"/>
        </w:pBdr>
        <w:spacing w:after="160" w:before="380"/>
      </w:pPr>
      <w:r>
        <w:rPr>
          <w:b/>
          <w:bCs/>
          <w:color w:val="10203A"/>
          <w:sz w:val="30"/>
          <w:szCs w:val="30"/>
        </w:rPr>
        <w:t xml:space="preserve">4. Signing in</w:t>
      </w:r>
    </w:p>
    <w:p>
      <w:pPr>
        <w:spacing w:after="240" w:line="288"/>
      </w:pPr>
      <w:r>
        <w:rPr>
          <w:i/>
          <w:iCs/>
          <w:color w:val="55637A"/>
          <w:sz w:val="22"/>
          <w:szCs w:val="22"/>
        </w:rPr>
        <w:t xml:space="preserve">Every demonstration account uses the password Passw0rd!2026. On the sign-in page in development, each account also has a "use" button that fills the form for you.</w:t>
      </w:r>
    </w:p>
    <w:p>
      <w:pPr>
        <w:spacing w:after="140" w:line="276"/>
      </w:pPr>
      <w:r>
        <w:rPr>
          <w:color w:val="16202C"/>
          <w:sz w:val="21"/>
          <w:szCs w:val="21"/>
        </w:rPr>
        <w:t xml:space="preserve">The accounts are not simply different names — each one genuinely sees a different portal, because the access boundary is enforced in the database queries rather than in the interface. Signing in as two of them side by side is the fastest way to see that.</w:t>
      </w:r>
    </w:p>
    <w:p>
      <w:pPr>
        <w:spacing w:after="60"/>
      </w:pPr>
    </w:p>
    <w:tbl>
      <w:tblPr>
        <w:tblW w:type="dxa" w:w="10080"/>
        <w:tblBorders>
          <w:top w:val="single" w:color="DFE4EC" w:sz="4"/>
          <w:left w:val="single" w:color="DFE4EC" w:sz="4"/>
          <w:bottom w:val="single" w:color="DFE4EC" w:sz="4"/>
          <w:right w:val="single" w:color="DFE4EC" w:sz="4"/>
          <w:insideH w:val="single" w:color="DFE4EC" w:sz="4"/>
          <w:insideV w:val="single" w:color="DFE4EC" w:sz="4"/>
        </w:tblBorders>
      </w:tblPr>
      <w:tblGrid>
        <w:gridCol w:w="3480"/>
        <w:gridCol w:w="2100"/>
        <w:gridCol w:w="4500"/>
      </w:tblGrid>
      <w:tr>
        <w:trPr>
          <w:tblHeader/>
        </w:trPr>
        <w:tc>
          <w:tcPr>
            <w:tcW w:type="dxa" w:w="3480"/>
            <w:shd w:fill="E8EEFC" w:color="auto" w:val="clear"/>
            <w:tcMar>
              <w:top w:type="dxa" w:w="90"/>
              <w:left w:type="dxa" w:w="130"/>
              <w:bottom w:type="dxa" w:w="90"/>
              <w:right w:type="dxa" w:w="130"/>
            </w:tcMar>
          </w:tcPr>
          <w:p>
            <w:pPr>
              <w:spacing w:after="0" w:line="264"/>
            </w:pPr>
            <w:r>
              <w:rPr>
                <w:b/>
                <w:bCs/>
                <w:color w:val="16202C"/>
                <w:sz w:val="19"/>
                <w:szCs w:val="19"/>
              </w:rPr>
              <w:t xml:space="preserve">Email address</w:t>
            </w:r>
          </w:p>
        </w:tc>
        <w:tc>
          <w:tcPr>
            <w:tcW w:type="dxa" w:w="2100"/>
            <w:shd w:fill="E8EEFC" w:color="auto" w:val="clear"/>
            <w:tcMar>
              <w:top w:type="dxa" w:w="90"/>
              <w:left w:type="dxa" w:w="130"/>
              <w:bottom w:type="dxa" w:w="90"/>
              <w:right w:type="dxa" w:w="130"/>
            </w:tcMar>
          </w:tcPr>
          <w:p>
            <w:pPr>
              <w:spacing w:after="0" w:line="264"/>
            </w:pPr>
            <w:r>
              <w:rPr>
                <w:b/>
                <w:bCs/>
                <w:color w:val="16202C"/>
                <w:sz w:val="19"/>
                <w:szCs w:val="19"/>
              </w:rPr>
              <w:t xml:space="preserve">Role</w:t>
            </w:r>
          </w:p>
        </w:tc>
        <w:tc>
          <w:tcPr>
            <w:tcW w:type="dxa" w:w="4500"/>
            <w:shd w:fill="E8EEFC" w:color="auto" w:val="clear"/>
            <w:tcMar>
              <w:top w:type="dxa" w:w="90"/>
              <w:left w:type="dxa" w:w="130"/>
              <w:bottom w:type="dxa" w:w="90"/>
              <w:right w:type="dxa" w:w="130"/>
            </w:tcMar>
          </w:tcPr>
          <w:p>
            <w:pPr>
              <w:spacing w:after="0" w:line="264"/>
            </w:pPr>
            <w:r>
              <w:rPr>
                <w:b/>
                <w:bCs/>
                <w:color w:val="16202C"/>
                <w:sz w:val="19"/>
                <w:szCs w:val="19"/>
              </w:rPr>
              <w:t xml:space="preserve">What this account sees</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platform.admin@apnileap.example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Platform Administrator</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Everything, plus account administration and the full audit trail</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balaji@apnileap.example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Global Programme Leader</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All five institutes and the consolidated programme roll-up</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narayan@kletech.example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Dean</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KLE only. The other four institutes do not exist for this account</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admin.kle@kletech.example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Institute Administrator</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KLE, including user administration for KLE</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head.cse@kletech.example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Department Head</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KLE Computer Science only — not KLE Electronics</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mentor.hegde@kletech.example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Faculty Mentor</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Assigned KLE CSE projects. Can propose a status, but cannot approve a return to Green</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coach@apnileap.example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Reviewer / Success Coach</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KLE and RIT. Can approve a return to Green</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student.team4@kletech.example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Student</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One project only. Can raise challenges, nothing else</w:t>
            </w:r>
          </w:p>
        </w:tc>
      </w:tr>
      <w:tr>
        <w:tc>
          <w:tcPr>
            <w:tcW w:type="dxa" w:w="3480"/>
            <w:tcMar>
              <w:top w:type="dxa" w:w="90"/>
              <w:left w:type="dxa" w:w="130"/>
              <w:bottom w:type="dxa" w:w="90"/>
              <w:right w:type="dxa" w:w="130"/>
            </w:tcMar>
          </w:tcPr>
          <w:p>
            <w:pPr>
              <w:spacing w:after="0" w:line="264"/>
            </w:pPr>
            <w:r>
              <w:rPr>
                <w:b w:val="false"/>
                <w:bCs w:val="false"/>
                <w:color w:val="16202C"/>
                <w:sz w:val="19"/>
                <w:szCs w:val="19"/>
              </w:rPr>
              <w:t xml:space="preserve">trustee@apnileap.example</w:t>
            </w:r>
          </w:p>
        </w:tc>
        <w:tc>
          <w:tcPr>
            <w:tcW w:type="dxa" w:w="2100"/>
            <w:tcMar>
              <w:top w:type="dxa" w:w="90"/>
              <w:left w:type="dxa" w:w="130"/>
              <w:bottom w:type="dxa" w:w="90"/>
              <w:right w:type="dxa" w:w="130"/>
            </w:tcMar>
          </w:tcPr>
          <w:p>
            <w:pPr>
              <w:spacing w:after="0" w:line="264"/>
            </w:pPr>
            <w:r>
              <w:rPr>
                <w:b w:val="false"/>
                <w:bCs w:val="false"/>
                <w:color w:val="16202C"/>
                <w:sz w:val="19"/>
                <w:szCs w:val="19"/>
              </w:rPr>
              <w:t xml:space="preserve">Read-only Stakeholder</w:t>
            </w:r>
          </w:p>
        </w:tc>
        <w:tc>
          <w:tcPr>
            <w:tcW w:type="dxa" w:w="4500"/>
            <w:tcMar>
              <w:top w:type="dxa" w:w="90"/>
              <w:left w:type="dxa" w:w="130"/>
              <w:bottom w:type="dxa" w:w="90"/>
              <w:right w:type="dxa" w:w="130"/>
            </w:tcMar>
          </w:tcPr>
          <w:p>
            <w:pPr>
              <w:spacing w:after="0" w:line="264"/>
            </w:pPr>
            <w:r>
              <w:rPr>
                <w:b w:val="false"/>
                <w:bCs w:val="false"/>
                <w:color w:val="16202C"/>
                <w:sz w:val="19"/>
                <w:szCs w:val="19"/>
              </w:rPr>
              <w:t xml:space="preserve">MMCOE dashboards, with no ability to change anything</w:t>
            </w:r>
          </w:p>
        </w:tc>
      </w:tr>
    </w:tbl>
    <w:p>
      <w:r>
        <w:br w:type="page"/>
      </w:r>
    </w:p>
    <w:p>
      <w:pPr>
        <w:pStyle w:val="Heading1"/>
        <w:pBdr>
          <w:bottom w:val="single" w:color="DFE4EC" w:sz="8" w:space="6"/>
        </w:pBdr>
        <w:spacing w:after="160" w:before="380"/>
      </w:pPr>
      <w:r>
        <w:rPr>
          <w:b/>
          <w:bCs/>
          <w:color w:val="10203A"/>
          <w:sz w:val="30"/>
          <w:szCs w:val="30"/>
        </w:rPr>
        <w:t xml:space="preserve">5. A five-minute tour</w:t>
      </w:r>
    </w:p>
    <w:p>
      <w:pPr>
        <w:spacing w:after="240" w:line="288"/>
      </w:pPr>
      <w:r>
        <w:rPr>
          <w:i/>
          <w:iCs/>
          <w:color w:val="55637A"/>
          <w:sz w:val="22"/>
          <w:szCs w:val="22"/>
        </w:rPr>
        <w:t xml:space="preserve">If you want to check that everything works, this sequence exercises the parts of the system that matter most.</w:t>
      </w:r>
    </w:p>
    <w:p>
      <w:pPr>
        <w:pStyle w:val="ListParagraph"/>
        <w:numPr>
          <w:ilvl w:val="0"/>
          <w:numId w:val="2"/>
        </w:numPr>
        <w:spacing w:after="110" w:line="276"/>
      </w:pPr>
      <w:r>
        <w:rPr>
          <w:color w:val="16202C"/>
          <w:sz w:val="21"/>
          <w:szCs w:val="21"/>
        </w:rPr>
        <w:t xml:space="preserve">Sign in as balaji@apnileap.example. You land on the programme portfolio: five institutes, ten projects, with the Red and Yellow counts across the whole programme.</w:t>
      </w:r>
    </w:p>
    <w:p>
      <w:pPr>
        <w:pStyle w:val="ListParagraph"/>
        <w:numPr>
          <w:ilvl w:val="0"/>
          <w:numId w:val="2"/>
        </w:numPr>
        <w:spacing w:after="110" w:line="276"/>
      </w:pPr>
      <w:r>
        <w:rPr>
          <w:color w:val="16202C"/>
          <w:sz w:val="21"/>
          <w:szCs w:val="21"/>
        </w:rPr>
        <w:t xml:space="preserve">Select KLE Tech. The institute dashboard shows the RAG distribution, a four-week trend rebuilt from the recorded status history, and what needs attention — projects awaiting review, with overdue actions, and not recently updated.</w:t>
      </w:r>
    </w:p>
    <w:p>
      <w:pPr>
        <w:pStyle w:val="ListParagraph"/>
        <w:numPr>
          <w:ilvl w:val="0"/>
          <w:numId w:val="2"/>
        </w:numPr>
        <w:spacing w:after="110" w:line="276"/>
      </w:pPr>
      <w:r>
        <w:rPr>
          <w:color w:val="16202C"/>
          <w:sz w:val="21"/>
          <w:szCs w:val="21"/>
        </w:rPr>
        <w:t xml:space="preserve">Open the Computer Science and Engineering department, then the project "Assistive braille reader for lab instruments". It is Red.</w:t>
      </w:r>
    </w:p>
    <w:p>
      <w:pPr>
        <w:pStyle w:val="ListParagraph"/>
        <w:numPr>
          <w:ilvl w:val="0"/>
          <w:numId w:val="2"/>
        </w:numPr>
        <w:spacing w:after="110" w:line="276"/>
      </w:pPr>
      <w:r>
        <w:rPr>
          <w:color w:val="16202C"/>
          <w:sz w:val="21"/>
          <w:szCs w:val="21"/>
        </w:rPr>
        <w:t xml:space="preserve">Read the intervention panel at the top. It states why the project went Red and when, how many challenges are open, and how many corrective actions are overdue.</w:t>
      </w:r>
    </w:p>
    <w:p>
      <w:pPr>
        <w:pStyle w:val="ListParagraph"/>
        <w:numPr>
          <w:ilvl w:val="0"/>
          <w:numId w:val="2"/>
        </w:numPr>
        <w:spacing w:after="110" w:line="276"/>
      </w:pPr>
      <w:r>
        <w:rPr>
          <w:color w:val="16202C"/>
          <w:sz w:val="21"/>
          <w:szCs w:val="21"/>
        </w:rPr>
        <w:t xml:space="preserve">Open the "Challenges &amp; actions" tab. Each challenge carries its root cause, impact, the support requested and from whom, the evidence available, and the corrective actions with owners and due dates.</w:t>
      </w:r>
    </w:p>
    <w:p>
      <w:pPr>
        <w:pStyle w:val="ListParagraph"/>
        <w:numPr>
          <w:ilvl w:val="0"/>
          <w:numId w:val="2"/>
        </w:numPr>
        <w:spacing w:after="110" w:line="276"/>
      </w:pPr>
      <w:r>
        <w:rPr>
          <w:color w:val="16202C"/>
          <w:sz w:val="21"/>
          <w:szCs w:val="21"/>
        </w:rPr>
        <w:t xml:space="preserve">Sign out and sign in as narayan@kletech.example. You are taken straight to KLE and the other institutes are nowhere on screen — not hidden, but absent from the response.</w:t>
      </w:r>
    </w:p>
    <w:p>
      <w:pPr>
        <w:pStyle w:val="ListParagraph"/>
        <w:numPr>
          <w:ilvl w:val="0"/>
          <w:numId w:val="2"/>
        </w:numPr>
        <w:spacing w:after="110" w:line="276"/>
      </w:pPr>
      <w:r>
        <w:rPr>
          <w:color w:val="16202C"/>
          <w:sz w:val="21"/>
          <w:szCs w:val="21"/>
        </w:rPr>
        <w:t xml:space="preserve">Sign in as mentor.hegde@kletech.example, open the same Red project and try to set the status to Green. The form tells you plainly that reviewer approval is required, and lists what is still blocking the project.</w:t>
      </w:r>
    </w:p>
    <w:p>
      <w:pPr>
        <w:pStyle w:val="ListParagraph"/>
        <w:numPr>
          <w:ilvl w:val="0"/>
          <w:numId w:val="2"/>
        </w:numPr>
        <w:spacing w:after="110" w:line="276"/>
      </w:pPr>
      <w:r>
        <w:rPr>
          <w:color w:val="16202C"/>
          <w:sz w:val="21"/>
          <w:szCs w:val="21"/>
        </w:rPr>
        <w:t xml:space="preserve">Sign in as coach@apnileap.example — a reviewer, who can approve. Open the Weekly report from the top navigation and compare it with the same report as Narayan: the two contain different institutes, because each report is generated from its reader’s own access scope.</w:t>
      </w:r>
    </w:p>
    <w:p>
      <w:pPr>
        <w:spacing w:after="160"/>
      </w:pPr>
    </w:p>
    <w:tbl>
      <w:tblPr>
        <w:tblW w:type="dxa" w:w="10080"/>
        <w:tblBorders>
          <w:top w:val="single" w:color="DFE4EC" w:sz="4"/>
          <w:left w:val="single" w:color="B3261E" w:sz="18"/>
          <w:bottom w:val="single" w:color="DFE4EC" w:sz="4"/>
          <w:right w:val="single" w:color="DFE4EC" w:sz="4"/>
          <w:insideH w:val="none" w:color="auto" w:sz="0"/>
          <w:insideV w:val="none" w:color="auto" w:sz="0"/>
        </w:tblBorders>
      </w:tblPr>
      <w:tblGrid>
        <w:gridCol w:w="10080"/>
      </w:tblGrid>
      <w:tr>
        <w:tc>
          <w:tcPr>
            <w:tcW w:type="dxa" w:w="10080"/>
            <w:shd w:fill="FAFBFD" w:color="auto" w:val="clear"/>
            <w:tcMar>
              <w:top w:type="dxa" w:w="130"/>
              <w:left w:type="dxa" w:w="180"/>
              <w:bottom w:type="dxa" w:w="130"/>
              <w:right w:type="dxa" w:w="160"/>
            </w:tcMar>
          </w:tcPr>
          <w:p>
            <w:pPr>
              <w:spacing w:after="70"/>
            </w:pPr>
            <w:r>
              <w:rPr>
                <w:b/>
                <w:bCs/>
                <w:caps/>
                <w:color w:val="B3261E"/>
                <w:sz w:val="19"/>
                <w:szCs w:val="19"/>
              </w:rPr>
              <w:t xml:space="preserve">Try the isolation boundary yourself</w:t>
            </w:r>
          </w:p>
          <w:p>
            <w:pPr>
              <w:spacing w:after="70" w:line="264"/>
            </w:pPr>
            <w:r>
              <w:rPr>
                <w:color w:val="16202C"/>
                <w:sz w:val="20"/>
                <w:szCs w:val="20"/>
              </w:rPr>
              <w:t xml:space="preserve">While signed in as narayan@kletech.example, copy a project URL from a different institute (for example an MMCOE project seen as Balaji) and paste it into the address bar.</w:t>
            </w:r>
          </w:p>
          <w:p>
            <w:pPr>
              <w:spacing w:after="0" w:line="264"/>
            </w:pPr>
            <w:r>
              <w:rPr>
                <w:color w:val="16202C"/>
                <w:sz w:val="20"/>
                <w:szCs w:val="20"/>
              </w:rPr>
              <w:t xml:space="preserve">The portal returns "the requested record does not exist or is not within your authorized scope" — the same answer it gives for a record that genuinely does not exist, so the response never confirms that another institute’s project exists. Then sign in as platform.admin@apnileap.example and open Audit: the attempt is recorded there as a denied cross-tenant access.</w:t>
            </w:r>
          </w:p>
        </w:tc>
      </w:tr>
    </w:tbl>
    <w:p>
      <w:pPr>
        <w:pStyle w:val="Heading1"/>
        <w:pBdr>
          <w:bottom w:val="single" w:color="DFE4EC" w:sz="8" w:space="6"/>
        </w:pBdr>
        <w:spacing w:after="160" w:before="380"/>
      </w:pPr>
      <w:r>
        <w:rPr>
          <w:b/>
          <w:bCs/>
          <w:color w:val="10203A"/>
          <w:sz w:val="30"/>
          <w:szCs w:val="30"/>
        </w:rPr>
        <w:t xml:space="preserve">6. Everyday commands</w:t>
      </w:r>
    </w:p>
    <w:tbl>
      <w:tblPr>
        <w:tblW w:type="dxa" w:w="10080"/>
        <w:tblBorders>
          <w:top w:val="single" w:color="DFE4EC" w:sz="4"/>
          <w:left w:val="single" w:color="DFE4EC" w:sz="4"/>
          <w:bottom w:val="single" w:color="DFE4EC" w:sz="4"/>
          <w:right w:val="single" w:color="DFE4EC" w:sz="4"/>
          <w:insideH w:val="single" w:color="DFE4EC" w:sz="4"/>
          <w:insideV w:val="single" w:color="DFE4EC" w:sz="4"/>
        </w:tblBorders>
      </w:tblPr>
      <w:tblGrid>
        <w:gridCol w:w="3900"/>
        <w:gridCol w:w="6180"/>
      </w:tblGrid>
      <w:tr>
        <w:trPr>
          <w:tblHeader/>
        </w:trPr>
        <w:tc>
          <w:tcPr>
            <w:tcW w:type="dxa" w:w="3900"/>
            <w:shd w:fill="E8EEFC" w:color="auto" w:val="clear"/>
            <w:tcMar>
              <w:top w:type="dxa" w:w="90"/>
              <w:left w:type="dxa" w:w="130"/>
              <w:bottom w:type="dxa" w:w="90"/>
              <w:right w:type="dxa" w:w="130"/>
            </w:tcMar>
          </w:tcPr>
          <w:p>
            <w:pPr>
              <w:spacing w:after="0" w:line="264"/>
            </w:pPr>
            <w:r>
              <w:rPr>
                <w:b/>
                <w:bCs/>
                <w:color w:val="16202C"/>
                <w:sz w:val="19"/>
                <w:szCs w:val="19"/>
              </w:rPr>
              <w:t xml:space="preserve">Command</w:t>
            </w:r>
          </w:p>
        </w:tc>
        <w:tc>
          <w:tcPr>
            <w:tcW w:type="dxa" w:w="6180"/>
            <w:shd w:fill="E8EEFC" w:color="auto" w:val="clear"/>
            <w:tcMar>
              <w:top w:type="dxa" w:w="90"/>
              <w:left w:type="dxa" w:w="130"/>
              <w:bottom w:type="dxa" w:w="90"/>
              <w:right w:type="dxa" w:w="130"/>
            </w:tcMar>
          </w:tcPr>
          <w:p>
            <w:pPr>
              <w:spacing w:after="0" w:line="264"/>
            </w:pPr>
            <w:r>
              <w:rPr>
                <w:b/>
                <w:bCs/>
                <w:color w:val="16202C"/>
                <w:sz w:val="19"/>
                <w:szCs w:val="19"/>
              </w:rPr>
              <w:t xml:space="preserve">What it does</w:t>
            </w:r>
          </w:p>
        </w:tc>
      </w:tr>
      <w:tr>
        <w:tc>
          <w:tcPr>
            <w:tcW w:type="dxa" w:w="3900"/>
            <w:tcMar>
              <w:top w:type="dxa" w:w="90"/>
              <w:left w:type="dxa" w:w="130"/>
              <w:bottom w:type="dxa" w:w="90"/>
              <w:right w:type="dxa" w:w="130"/>
            </w:tcMar>
          </w:tcPr>
          <w:p>
            <w:pPr>
              <w:spacing w:after="0" w:line="264"/>
            </w:pPr>
            <w:r>
              <w:rPr>
                <w:b w:val="false"/>
                <w:bCs w:val="false"/>
                <w:color w:val="16202C"/>
                <w:sz w:val="19"/>
                <w:szCs w:val="19"/>
              </w:rPr>
              <w:t xml:space="preserve">npm run dev</w:t>
            </w:r>
          </w:p>
        </w:tc>
        <w:tc>
          <w:tcPr>
            <w:tcW w:type="dxa" w:w="6180"/>
            <w:tcMar>
              <w:top w:type="dxa" w:w="90"/>
              <w:left w:type="dxa" w:w="130"/>
              <w:bottom w:type="dxa" w:w="90"/>
              <w:right w:type="dxa" w:w="130"/>
            </w:tcMar>
          </w:tcPr>
          <w:p>
            <w:pPr>
              <w:spacing w:after="0" w:line="264"/>
            </w:pPr>
            <w:r>
              <w:rPr>
                <w:b w:val="false"/>
                <w:bCs w:val="false"/>
                <w:color w:val="16202C"/>
                <w:sz w:val="19"/>
                <w:szCs w:val="19"/>
              </w:rPr>
              <w:t xml:space="preserve">Starts the API and the web app together (from the project root)</w:t>
            </w:r>
          </w:p>
        </w:tc>
      </w:tr>
      <w:tr>
        <w:tc>
          <w:tcPr>
            <w:tcW w:type="dxa" w:w="3900"/>
            <w:tcMar>
              <w:top w:type="dxa" w:w="90"/>
              <w:left w:type="dxa" w:w="130"/>
              <w:bottom w:type="dxa" w:w="90"/>
              <w:right w:type="dxa" w:w="130"/>
            </w:tcMar>
          </w:tcPr>
          <w:p>
            <w:pPr>
              <w:spacing w:after="0" w:line="264"/>
            </w:pPr>
            <w:r>
              <w:rPr>
                <w:b w:val="false"/>
                <w:bCs w:val="false"/>
                <w:color w:val="16202C"/>
                <w:sz w:val="19"/>
                <w:szCs w:val="19"/>
              </w:rPr>
              <w:t xml:space="preserve">npm test</w:t>
            </w:r>
          </w:p>
        </w:tc>
        <w:tc>
          <w:tcPr>
            <w:tcW w:type="dxa" w:w="6180"/>
            <w:tcMar>
              <w:top w:type="dxa" w:w="90"/>
              <w:left w:type="dxa" w:w="130"/>
              <w:bottom w:type="dxa" w:w="90"/>
              <w:right w:type="dxa" w:w="130"/>
            </w:tcMar>
          </w:tcPr>
          <w:p>
            <w:pPr>
              <w:spacing w:after="0" w:line="264"/>
            </w:pPr>
            <w:r>
              <w:rPr>
                <w:b w:val="false"/>
                <w:bCs w:val="false"/>
                <w:color w:val="16202C"/>
                <w:sz w:val="19"/>
                <w:szCs w:val="19"/>
              </w:rPr>
              <w:t xml:space="preserve">Runs the 26 backend tests covering isolation, workflow governance and report scoping</w:t>
            </w:r>
          </w:p>
        </w:tc>
      </w:tr>
      <w:tr>
        <w:tc>
          <w:tcPr>
            <w:tcW w:type="dxa" w:w="3900"/>
            <w:tcMar>
              <w:top w:type="dxa" w:w="90"/>
              <w:left w:type="dxa" w:w="130"/>
              <w:bottom w:type="dxa" w:w="90"/>
              <w:right w:type="dxa" w:w="130"/>
            </w:tcMar>
          </w:tcPr>
          <w:p>
            <w:pPr>
              <w:spacing w:after="0" w:line="264"/>
            </w:pPr>
            <w:r>
              <w:rPr>
                <w:b w:val="false"/>
                <w:bCs w:val="false"/>
                <w:color w:val="16202C"/>
                <w:sz w:val="19"/>
                <w:szCs w:val="19"/>
              </w:rPr>
              <w:t xml:space="preserve">npm run seed</w:t>
            </w:r>
          </w:p>
        </w:tc>
        <w:tc>
          <w:tcPr>
            <w:tcW w:type="dxa" w:w="6180"/>
            <w:tcMar>
              <w:top w:type="dxa" w:w="90"/>
              <w:left w:type="dxa" w:w="130"/>
              <w:bottom w:type="dxa" w:w="90"/>
              <w:right w:type="dxa" w:w="130"/>
            </w:tcMar>
          </w:tcPr>
          <w:p>
            <w:pPr>
              <w:spacing w:after="0" w:line="264"/>
            </w:pPr>
            <w:r>
              <w:rPr>
                <w:b w:val="false"/>
                <w:bCs w:val="false"/>
                <w:color w:val="16202C"/>
                <w:sz w:val="19"/>
                <w:szCs w:val="19"/>
              </w:rPr>
              <w:t xml:space="preserve">Creates the schema and loads the demonstration data</w:t>
            </w:r>
          </w:p>
        </w:tc>
      </w:tr>
      <w:tr>
        <w:tc>
          <w:tcPr>
            <w:tcW w:type="dxa" w:w="3900"/>
            <w:tcMar>
              <w:top w:type="dxa" w:w="90"/>
              <w:left w:type="dxa" w:w="130"/>
              <w:bottom w:type="dxa" w:w="90"/>
              <w:right w:type="dxa" w:w="130"/>
            </w:tcMar>
          </w:tcPr>
          <w:p>
            <w:pPr>
              <w:spacing w:after="0" w:line="264"/>
            </w:pPr>
            <w:r>
              <w:rPr>
                <w:b w:val="false"/>
                <w:bCs w:val="false"/>
                <w:color w:val="16202C"/>
                <w:sz w:val="19"/>
                <w:szCs w:val="19"/>
              </w:rPr>
              <w:t xml:space="preserve">npm run reset</w:t>
            </w:r>
          </w:p>
        </w:tc>
        <w:tc>
          <w:tcPr>
            <w:tcW w:type="dxa" w:w="6180"/>
            <w:tcMar>
              <w:top w:type="dxa" w:w="90"/>
              <w:left w:type="dxa" w:w="130"/>
              <w:bottom w:type="dxa" w:w="90"/>
              <w:right w:type="dxa" w:w="130"/>
            </w:tcMar>
          </w:tcPr>
          <w:p>
            <w:pPr>
              <w:spacing w:after="0" w:line="264"/>
            </w:pPr>
            <w:r>
              <w:rPr>
                <w:b w:val="false"/>
                <w:bCs w:val="false"/>
                <w:color w:val="16202C"/>
                <w:sz w:val="19"/>
                <w:szCs w:val="19"/>
              </w:rPr>
              <w:t xml:space="preserve">Deletes the local database file so it can be seeded again</w:t>
            </w:r>
          </w:p>
        </w:tc>
      </w:tr>
      <w:tr>
        <w:tc>
          <w:tcPr>
            <w:tcW w:type="dxa" w:w="3900"/>
            <w:tcMar>
              <w:top w:type="dxa" w:w="90"/>
              <w:left w:type="dxa" w:w="130"/>
              <w:bottom w:type="dxa" w:w="90"/>
              <w:right w:type="dxa" w:w="130"/>
            </w:tcMar>
          </w:tcPr>
          <w:p>
            <w:pPr>
              <w:spacing w:after="0" w:line="264"/>
            </w:pPr>
            <w:r>
              <w:rPr>
                <w:b w:val="false"/>
                <w:bCs w:val="false"/>
                <w:color w:val="16202C"/>
                <w:sz w:val="19"/>
                <w:szCs w:val="19"/>
              </w:rPr>
              <w:t xml:space="preserve">npm run build</w:t>
            </w:r>
          </w:p>
        </w:tc>
        <w:tc>
          <w:tcPr>
            <w:tcW w:type="dxa" w:w="6180"/>
            <w:tcMar>
              <w:top w:type="dxa" w:w="90"/>
              <w:left w:type="dxa" w:w="130"/>
              <w:bottom w:type="dxa" w:w="90"/>
              <w:right w:type="dxa" w:w="130"/>
            </w:tcMar>
          </w:tcPr>
          <w:p>
            <w:pPr>
              <w:spacing w:after="0" w:line="264"/>
            </w:pPr>
            <w:r>
              <w:rPr>
                <w:b w:val="false"/>
                <w:bCs w:val="false"/>
                <w:color w:val="16202C"/>
                <w:sz w:val="19"/>
                <w:szCs w:val="19"/>
              </w:rPr>
              <w:t xml:space="preserve">Produces the production front-end build in web\dist</w:t>
            </w:r>
          </w:p>
        </w:tc>
      </w:tr>
      <w:tr>
        <w:tc>
          <w:tcPr>
            <w:tcW w:type="dxa" w:w="3900"/>
            <w:tcMar>
              <w:top w:type="dxa" w:w="90"/>
              <w:left w:type="dxa" w:w="130"/>
              <w:bottom w:type="dxa" w:w="90"/>
              <w:right w:type="dxa" w:w="130"/>
            </w:tcMar>
          </w:tcPr>
          <w:p>
            <w:pPr>
              <w:spacing w:after="0" w:line="264"/>
            </w:pPr>
            <w:r>
              <w:rPr>
                <w:b w:val="false"/>
                <w:bCs w:val="false"/>
                <w:color w:val="16202C"/>
                <w:sz w:val="19"/>
                <w:szCs w:val="19"/>
              </w:rPr>
              <w:t xml:space="preserve">npm start</w:t>
            </w:r>
          </w:p>
        </w:tc>
        <w:tc>
          <w:tcPr>
            <w:tcW w:type="dxa" w:w="6180"/>
            <w:tcMar>
              <w:top w:type="dxa" w:w="90"/>
              <w:left w:type="dxa" w:w="130"/>
              <w:bottom w:type="dxa" w:w="90"/>
              <w:right w:type="dxa" w:w="130"/>
            </w:tcMar>
          </w:tcPr>
          <w:p>
            <w:pPr>
              <w:spacing w:after="0" w:line="264"/>
            </w:pPr>
            <w:r>
              <w:rPr>
                <w:b w:val="false"/>
                <w:bCs w:val="false"/>
                <w:color w:val="16202C"/>
                <w:sz w:val="19"/>
                <w:szCs w:val="19"/>
              </w:rPr>
              <w:t xml:space="preserve">Runs the API without file watching, as it would run in production</w:t>
            </w:r>
          </w:p>
        </w:tc>
      </w:tr>
    </w:tbl>
    <w:p>
      <w:pPr>
        <w:spacing w:after="220"/>
      </w:pPr>
    </w:p>
    <w:p>
      <w:pPr>
        <w:pStyle w:val="Heading2"/>
        <w:spacing w:after="110" w:before="260"/>
      </w:pPr>
      <w:r>
        <w:rPr>
          <w:b/>
          <w:bCs/>
          <w:color w:val="10203A"/>
          <w:sz w:val="24"/>
          <w:szCs w:val="24"/>
        </w:rPr>
        <w:t xml:space="preserve">Resetting the demonstration data</w:t>
      </w:r>
    </w:p>
    <w:p>
      <w:pPr>
        <w:spacing w:after="140" w:line="276"/>
      </w:pPr>
      <w:r>
        <w:rPr>
          <w:color w:val="16202C"/>
          <w:sz w:val="21"/>
          <w:szCs w:val="21"/>
        </w:rPr>
        <w:t xml:space="preserve">Stop the API first. Windows will not delete a database file that is still open, and the reset will fail with an "EBUSY: resource busy or locked" error if the server is running.</w:t>
      </w:r>
    </w:p>
    <w:p>
      <w:pPr>
        <w:pBdr>
          <w:left w:val="single" w:color="1D4ED8" w:sz="12" w:space="8"/>
        </w:pBdr>
        <w:shd w:fill="F4F6FA" w:color="auto" w:val="clear"/>
        <w:spacing w:after="0" w:before="60" w:line="264"/>
        <w:ind w:left="220" w:right="220"/>
      </w:pPr>
      <w:r>
        <w:rPr>
          <w:rFonts w:ascii="Consolas" w:cs="Consolas" w:eastAsia="Consolas" w:hAnsi="Consolas"/>
          <w:color w:val="1B2B45"/>
          <w:sz w:val="19"/>
          <w:szCs w:val="19"/>
        </w:rPr>
        <w:t xml:space="preserve">cd "D:\Claude Projects\ApniLeap Mini Project v2\server"</w:t>
      </w:r>
    </w:p>
    <w:p>
      <w:pPr>
        <w:pBdr>
          <w:left w:val="single" w:color="1D4ED8" w:sz="12" w:space="8"/>
        </w:pBdr>
        <w:shd w:fill="F4F6FA" w:color="auto" w:val="clear"/>
        <w:spacing w:after="0" w:before="0" w:line="264"/>
        <w:ind w:left="220" w:right="220"/>
      </w:pPr>
      <w:r>
        <w:rPr>
          <w:rFonts w:ascii="Consolas" w:cs="Consolas" w:eastAsia="Consolas" w:hAnsi="Consolas"/>
          <w:color w:val="1B2B45"/>
          <w:sz w:val="19"/>
          <w:szCs w:val="19"/>
        </w:rPr>
        <w:t xml:space="preserve">npm run reset</w:t>
      </w:r>
    </w:p>
    <w:p>
      <w:pPr>
        <w:pBdr>
          <w:left w:val="single" w:color="1D4ED8" w:sz="12" w:space="8"/>
        </w:pBdr>
        <w:shd w:fill="F4F6FA" w:color="auto" w:val="clear"/>
        <w:spacing w:after="200" w:before="0" w:line="264"/>
        <w:ind w:left="220" w:right="220"/>
      </w:pPr>
      <w:r>
        <w:rPr>
          <w:rFonts w:ascii="Consolas" w:cs="Consolas" w:eastAsia="Consolas" w:hAnsi="Consolas"/>
          <w:color w:val="1B2B45"/>
          <w:sz w:val="19"/>
          <w:szCs w:val="19"/>
        </w:rPr>
        <w:t xml:space="preserve">npm run seed</w:t>
      </w:r>
    </w:p>
    <w:p>
      <w:pPr>
        <w:spacing w:after="140" w:line="276"/>
      </w:pPr>
      <w:r>
        <w:rPr>
          <w:color w:val="16202C"/>
          <w:sz w:val="21"/>
          <w:szCs w:val="21"/>
        </w:rPr>
        <w:t xml:space="preserve">Then start the API again. Any status changes, challenges or reviews you recorded while exploring are discarded and the original demonstration portfolio is restored.</w:t>
      </w:r>
    </w:p>
    <w:p>
      <w:r>
        <w:br w:type="page"/>
      </w:r>
    </w:p>
    <w:p>
      <w:pPr>
        <w:pStyle w:val="Heading1"/>
        <w:pBdr>
          <w:bottom w:val="single" w:color="DFE4EC" w:sz="8" w:space="6"/>
        </w:pBdr>
        <w:spacing w:after="160" w:before="380"/>
      </w:pPr>
      <w:r>
        <w:rPr>
          <w:b/>
          <w:bCs/>
          <w:color w:val="10203A"/>
          <w:sz w:val="30"/>
          <w:szCs w:val="30"/>
        </w:rPr>
        <w:t xml:space="preserve">7. If something goes wrong</w:t>
      </w:r>
    </w:p>
    <w:tbl>
      <w:tblPr>
        <w:tblW w:type="dxa" w:w="10080"/>
        <w:tblBorders>
          <w:top w:val="single" w:color="DFE4EC" w:sz="4"/>
          <w:left w:val="single" w:color="DFE4EC" w:sz="4"/>
          <w:bottom w:val="single" w:color="DFE4EC" w:sz="4"/>
          <w:right w:val="single" w:color="DFE4EC" w:sz="4"/>
          <w:insideH w:val="single" w:color="DFE4EC" w:sz="4"/>
          <w:insideV w:val="single" w:color="DFE4EC" w:sz="4"/>
        </w:tblBorders>
      </w:tblPr>
      <w:tblGrid>
        <w:gridCol w:w="3200"/>
        <w:gridCol w:w="6880"/>
      </w:tblGrid>
      <w:tr>
        <w:trPr>
          <w:tblHeader/>
        </w:trPr>
        <w:tc>
          <w:tcPr>
            <w:tcW w:type="dxa" w:w="3200"/>
            <w:shd w:fill="E8EEFC" w:color="auto" w:val="clear"/>
            <w:tcMar>
              <w:top w:type="dxa" w:w="90"/>
              <w:left w:type="dxa" w:w="130"/>
              <w:bottom w:type="dxa" w:w="90"/>
              <w:right w:type="dxa" w:w="130"/>
            </w:tcMar>
          </w:tcPr>
          <w:p>
            <w:pPr>
              <w:spacing w:after="0" w:line="264"/>
            </w:pPr>
            <w:r>
              <w:rPr>
                <w:b/>
                <w:bCs/>
                <w:color w:val="16202C"/>
                <w:sz w:val="19"/>
                <w:szCs w:val="19"/>
              </w:rPr>
              <w:t xml:space="preserve">Symptom</w:t>
            </w:r>
          </w:p>
        </w:tc>
        <w:tc>
          <w:tcPr>
            <w:tcW w:type="dxa" w:w="6880"/>
            <w:shd w:fill="E8EEFC" w:color="auto" w:val="clear"/>
            <w:tcMar>
              <w:top w:type="dxa" w:w="90"/>
              <w:left w:type="dxa" w:w="130"/>
              <w:bottom w:type="dxa" w:w="90"/>
              <w:right w:type="dxa" w:w="130"/>
            </w:tcMar>
          </w:tcPr>
          <w:p>
            <w:pPr>
              <w:spacing w:after="0" w:line="264"/>
            </w:pPr>
            <w:r>
              <w:rPr>
                <w:b/>
                <w:bCs/>
                <w:color w:val="16202C"/>
                <w:sz w:val="19"/>
                <w:szCs w:val="19"/>
              </w:rPr>
              <w:t xml:space="preserve">Cause and remedy</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npm install fails with "Cannot read properties of undefined (reading ‘spec’)"</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You ran it from the project root or with --prefix. Change directory into server or web first and run npm install there.</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The page loads but every action shows a network or 500 error</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API is not running. Start it: cd server, then npm run dev. Confirm with http://localhost:4000/api/health, which should return status "ok".</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"EADDRINUSE" on port 4000 or 5173</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A previous run is still going. Close the old terminal, or find and stop the process: netstat -ano | findstr :4000, then taskkill /PID &lt;number&gt; /F.</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npm run reset fails with "EBUSY: resource busy or locked"</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API still has the database file open. Stop the API with Ctrl+C, then run the reset again.</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Sign-in says "Email address or password is incorrect" for a demo account</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database has not been seeded, or was seeded with a different password. Run npm run seed in the server folder and check the account list it prints.</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Sign-in is refused repeatedly, then keeps failing</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account locked itself after five consecutive failures. Wait fifteen minutes, or have a platform administrator reset the password from the Administration page.</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No password-reset or weekly-report email arrives</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This is intended. Mail defaults to MAIL_TRANSPORT=console, which writes messages to the API terminal instead of sending them, so the exact per-recipient content can be checked before real delivery is switched on. Set MAIL_TRANSPORT=smtp with SMTP credentials in server\.env to send for real.</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The Administration or Weekly report link is missing from the top bar</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Not a fault. The navigation only shows what your role permits. A faculty mentor, for instance, has neither.</w:t>
            </w:r>
          </w:p>
        </w:tc>
      </w:tr>
    </w:tbl>
    <w:p>
      <w:pPr>
        <w:pStyle w:val="Heading1"/>
        <w:pBdr>
          <w:bottom w:val="single" w:color="DFE4EC" w:sz="8" w:space="6"/>
        </w:pBdr>
        <w:spacing w:after="160" w:before="380"/>
      </w:pPr>
      <w:r>
        <w:rPr>
          <w:b/>
          <w:bCs/>
          <w:color w:val="10203A"/>
          <w:sz w:val="30"/>
          <w:szCs w:val="30"/>
        </w:rPr>
        <w:t xml:space="preserve">8. Where things live</w:t>
      </w:r>
    </w:p>
    <w:tbl>
      <w:tblPr>
        <w:tblW w:type="dxa" w:w="10080"/>
        <w:tblBorders>
          <w:top w:val="single" w:color="DFE4EC" w:sz="4"/>
          <w:left w:val="single" w:color="DFE4EC" w:sz="4"/>
          <w:bottom w:val="single" w:color="DFE4EC" w:sz="4"/>
          <w:right w:val="single" w:color="DFE4EC" w:sz="4"/>
          <w:insideH w:val="single" w:color="DFE4EC" w:sz="4"/>
          <w:insideV w:val="single" w:color="DFE4EC" w:sz="4"/>
        </w:tblBorders>
      </w:tblPr>
      <w:tblGrid>
        <w:gridCol w:w="3200"/>
        <w:gridCol w:w="6880"/>
      </w:tblGrid>
      <w:tr>
        <w:trPr>
          <w:tblHeader/>
        </w:trPr>
        <w:tc>
          <w:tcPr>
            <w:tcW w:type="dxa" w:w="3200"/>
            <w:shd w:fill="E8EEFC" w:color="auto" w:val="clear"/>
            <w:tcMar>
              <w:top w:type="dxa" w:w="90"/>
              <w:left w:type="dxa" w:w="130"/>
              <w:bottom w:type="dxa" w:w="90"/>
              <w:right w:type="dxa" w:w="130"/>
            </w:tcMar>
          </w:tcPr>
          <w:p>
            <w:pPr>
              <w:spacing w:after="0" w:line="264"/>
            </w:pPr>
            <w:r>
              <w:rPr>
                <w:b/>
                <w:bCs/>
                <w:color w:val="16202C"/>
                <w:sz w:val="19"/>
                <w:szCs w:val="19"/>
              </w:rPr>
              <w:t xml:space="preserve">Path</w:t>
            </w:r>
          </w:p>
        </w:tc>
        <w:tc>
          <w:tcPr>
            <w:tcW w:type="dxa" w:w="6880"/>
            <w:shd w:fill="E8EEFC" w:color="auto" w:val="clear"/>
            <w:tcMar>
              <w:top w:type="dxa" w:w="90"/>
              <w:left w:type="dxa" w:w="130"/>
              <w:bottom w:type="dxa" w:w="90"/>
              <w:right w:type="dxa" w:w="130"/>
            </w:tcMar>
          </w:tcPr>
          <w:p>
            <w:pPr>
              <w:spacing w:after="0" w:line="264"/>
            </w:pPr>
            <w:r>
              <w:rPr>
                <w:b/>
                <w:bCs/>
                <w:color w:val="16202C"/>
                <w:sz w:val="19"/>
                <w:szCs w:val="19"/>
              </w:rPr>
              <w:t xml:space="preserve">Contents</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server\src\services\accessScope.js</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authorization model: grants, roles and the SQL scope predicates that enforce institute isolation</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server\src\services\rag.js</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Green/Yellow/Red definitions and the rules governing a return to Green</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server\src\db\schema.sql</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relational schema, including the append-only triggers on status history and the audit log</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server\src\db\seed.js</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demonstration institutes, users and projects</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server\test\</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26 automated tests, including the mandatory cross-institute isolation test</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web\src\pages\</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One page per level of the hierarchy, plus reports and administration</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server\data\portal.db</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The SQLite database file created by the seed step</w:t>
            </w:r>
          </w:p>
        </w:tc>
      </w:tr>
      <w:tr>
        <w:tc>
          <w:tcPr>
            <w:tcW w:type="dxa" w:w="3200"/>
            <w:tcMar>
              <w:top w:type="dxa" w:w="90"/>
              <w:left w:type="dxa" w:w="130"/>
              <w:bottom w:type="dxa" w:w="90"/>
              <w:right w:type="dxa" w:w="130"/>
            </w:tcMar>
          </w:tcPr>
          <w:p>
            <w:pPr>
              <w:spacing w:after="0" w:line="264"/>
            </w:pPr>
            <w:r>
              <w:rPr>
                <w:b w:val="false"/>
                <w:bCs w:val="false"/>
                <w:color w:val="16202C"/>
                <w:sz w:val="19"/>
                <w:szCs w:val="19"/>
              </w:rPr>
              <w:t xml:space="preserve">server\.env</w:t>
            </w:r>
          </w:p>
        </w:tc>
        <w:tc>
          <w:tcPr>
            <w:tcW w:type="dxa" w:w="6880"/>
            <w:tcMar>
              <w:top w:type="dxa" w:w="90"/>
              <w:left w:type="dxa" w:w="130"/>
              <w:bottom w:type="dxa" w:w="90"/>
              <w:right w:type="dxa" w:w="130"/>
            </w:tcMar>
          </w:tcPr>
          <w:p>
            <w:pPr>
              <w:spacing w:after="0" w:line="264"/>
            </w:pPr>
            <w:r>
              <w:rPr>
                <w:b w:val="false"/>
                <w:bCs w:val="false"/>
                <w:color w:val="16202C"/>
                <w:sz w:val="19"/>
                <w:szCs w:val="19"/>
              </w:rPr>
              <w:t xml:space="preserve">Local configuration: ports, session timeouts, mail transport, thresholds</w:t>
            </w:r>
          </w:p>
        </w:tc>
      </w:tr>
    </w:tbl>
    <w:p>
      <w:pPr>
        <w:spacing w:after="240"/>
      </w:pPr>
    </w:p>
    <w:p>
      <w:pPr>
        <w:pStyle w:val="Heading2"/>
        <w:spacing w:after="110" w:before="260"/>
      </w:pPr>
      <w:r>
        <w:rPr>
          <w:b/>
          <w:bCs/>
          <w:color w:val="10203A"/>
          <w:sz w:val="24"/>
          <w:szCs w:val="24"/>
        </w:rPr>
        <w:t xml:space="preserve">Further reading in the project folder</w:t>
      </w:r>
    </w:p>
    <w:p>
      <w:pPr>
        <w:pStyle w:val="ListParagraph"/>
        <w:numPr>
          <w:ilvl w:val="0"/>
          <w:numId w:val="3"/>
        </w:numPr>
        <w:spacing w:after="90" w:line="276"/>
      </w:pPr>
      <w:r>
        <w:rPr>
          <w:color w:val="16202C"/>
          <w:sz w:val="21"/>
          <w:szCs w:val="21"/>
        </w:rPr>
        <w:t xml:space="preserve">README.md — what the portal does, the security model, and the limitations of this release.</w:t>
      </w:r>
    </w:p>
    <w:p>
      <w:pPr>
        <w:pStyle w:val="ListParagraph"/>
        <w:numPr>
          <w:ilvl w:val="0"/>
          <w:numId w:val="3"/>
        </w:numPr>
        <w:spacing w:after="90" w:line="276"/>
      </w:pPr>
      <w:r>
        <w:rPr>
          <w:color w:val="16202C"/>
          <w:sz w:val="21"/>
          <w:szCs w:val="21"/>
        </w:rPr>
        <w:t xml:space="preserve">docs\ARCHITECTURE.md — why the design is shaped the way it is, particularly the authorization model.</w:t>
      </w:r>
    </w:p>
    <w:p>
      <w:pPr>
        <w:pStyle w:val="ListParagraph"/>
        <w:numPr>
          <w:ilvl w:val="0"/>
          <w:numId w:val="3"/>
        </w:numPr>
        <w:spacing w:after="90" w:line="276"/>
      </w:pPr>
      <w:r>
        <w:rPr>
          <w:color w:val="16202C"/>
          <w:sz w:val="21"/>
          <w:szCs w:val="21"/>
        </w:rPr>
        <w:t xml:space="preserve">docs\REQUIREMENTS-TRACEABILITY.md — each clause of the requirements specification mapped to where it is implemented and how it is verified.</w:t>
      </w:r>
    </w:p>
    <w:p>
      <w:pPr>
        <w:pStyle w:val="ListParagraph"/>
        <w:numPr>
          <w:ilvl w:val="0"/>
          <w:numId w:val="3"/>
        </w:numPr>
        <w:spacing w:after="90" w:line="276"/>
      </w:pPr>
      <w:r>
        <w:rPr>
          <w:color w:val="16202C"/>
          <w:sz w:val="21"/>
          <w:szCs w:val="21"/>
        </w:rPr>
        <w:t xml:space="preserve">docs\API.md — the full endpoint reference.</w:t>
      </w:r>
    </w:p>
    <w:p>
      <w:pPr>
        <w:spacing w:after="300"/>
      </w:pPr>
    </w:p>
    <w:p>
      <w:pPr>
        <w:pBdr>
          <w:top w:val="single" w:color="DFE4EC" w:sz="4" w:space="10"/>
        </w:pBdr>
        <w:spacing w:before="200"/>
      </w:pPr>
      <w:r>
        <w:rPr>
          <w:i/>
          <w:iCs/>
          <w:color w:val="55637A"/>
          <w:sz w:val="18"/>
          <w:szCs w:val="18"/>
        </w:rPr>
        <w:t xml:space="preserve">This release implements the minimum viable product defined in section 12 of the requirements specification, together with the section 13 acceptance criteria — covering Phase 1 (Foundation) and Phase 2 (Intervention) of the recommended delivery plan.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4EC" w:sz="4" w:space="8"/>
      </w:pBdr>
      <w:jc w:val="center"/>
    </w:pPr>
    <w:r>
      <w:rPr>
        <w:color w:val="55637A"/>
        <w:sz w:val="17"/>
        <w:szCs w:val="17"/>
      </w:rPr>
      <w:t xml:space="preserve">Mini-Project Portfolio Monitoring Portal  ·  Setup and Run Guide  ·  Page </w:t>
    </w:r>
    <w:r>
      <w:rPr>
        <w:color w:val="55637A"/>
        <w:sz w:val="17"/>
        <w:szCs w:val="17"/>
      </w:rPr>
      <w:fldChar w:fldCharType="begin"/>
      <w:instrText xml:space="preserve">PAGE</w:instrText>
      <w:fldChar w:fldCharType="separate"/>
      <w:fldChar w:fldCharType="end"/>
    </w:r>
    <w:r>
      <w:rPr>
        <w:color w:val="55637A"/>
        <w:sz w:val="17"/>
        <w:szCs w:val="17"/>
      </w:rPr>
      <w:t xml:space="preserve"> of </w:t>
    </w:r>
    <w:r>
      <w:rPr>
        <w:color w:val="5563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06fg9xkhi7vocjgg1tbk" Type="http://schemas.openxmlformats.org/officeDocument/2006/relationships/hyperlink" Target="http://localhost:5173"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Portfolio Monitoring Portal - Setup and Run Guide</dc:title>
  <dc:creator>ApniLeap mini-project programme</dc:creator>
  <dc:description>How to install, run and verify the Mini-Project Portfolio Monitoring Portal</dc:description>
  <cp:lastModifiedBy>Un-named</cp:lastModifiedBy>
  <cp:revision>1</cp:revision>
  <dcterms:created xsi:type="dcterms:W3CDTF">2026-08-17T11:42:47.286Z</dcterms:created>
  <dcterms:modified xsi:type="dcterms:W3CDTF">2026-08-17T11:42:47.287Z</dcterms:modified>
</cp:coreProperties>
</file>

<file path=docProps/custom.xml><?xml version="1.0" encoding="utf-8"?>
<Properties xmlns="http://schemas.openxmlformats.org/officeDocument/2006/custom-properties" xmlns:vt="http://schemas.openxmlformats.org/officeDocument/2006/docPropsVTypes"/>
</file>