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D4ED8"/>
          <w:spacing w:val="40"/>
          <w:sz w:val="18"/>
          <w:szCs w:val="18"/>
        </w:rPr>
        <w:t xml:space="preserve">APNILEAP MINI-PROJECT PROGRAMME</w:t>
      </w:r>
    </w:p>
    <w:p>
      <w:pPr>
        <w:spacing w:after="80"/>
      </w:pPr>
      <w:r>
        <w:rPr>
          <w:b/>
          <w:bCs/>
          <w:color w:val="10203A"/>
          <w:sz w:val="40"/>
          <w:szCs w:val="40"/>
        </w:rPr>
        <w:t xml:space="preserve">Mini-Project Portfolio Monitoring Portal</w:t>
      </w:r>
    </w:p>
    <w:p>
      <w:pPr>
        <w:pBdr>
          <w:bottom w:val="single" w:color="1D4ED8" w:sz="12" w:space="10"/>
        </w:pBdr>
        <w:spacing w:after="220"/>
      </w:pPr>
      <w:r>
        <w:rPr>
          <w:color w:val="55637A"/>
          <w:sz w:val="26"/>
          <w:szCs w:val="26"/>
        </w:rPr>
        <w:t xml:space="preserve">System Design Thinking Document</w:t>
      </w:r>
    </w:p>
    <w:tbl>
      <w:tblPr>
        <w:tblW w:type="dxa" w:w="10080"/>
        <w:tblBorders>
          <w:top w:val="single" w:color="DFE4EC" w:sz="4"/>
          <w:left w:val="single" w:color="DFE4EC" w:sz="4"/>
          <w:bottom w:val="single" w:color="DFE4EC" w:sz="4"/>
          <w:right w:val="single" w:color="DFE4EC" w:sz="4"/>
          <w:insideH w:val="single" w:color="DFE4EC" w:sz="4"/>
          <w:insideV w:val="single" w:color="DFE4EC" w:sz="4"/>
        </w:tblBorders>
      </w:tblPr>
      <w:tblGrid>
        <w:gridCol w:w="2400"/>
        <w:gridCol w:w="7680"/>
      </w:tblGrid>
      <w:tr>
        <w:trPr>
          <w:tblHeader/>
        </w:trPr>
        <w:tc>
          <w:tcPr>
            <w:tcW w:type="dxa" w:w="2400"/>
            <w:shd w:fill="E8EEFC" w:color="auto" w:val="clear"/>
            <w:tcMar>
              <w:top w:type="dxa" w:w="90"/>
              <w:left w:type="dxa" w:w="130"/>
              <w:bottom w:type="dxa" w:w="90"/>
              <w:right w:type="dxa" w:w="130"/>
            </w:tcMar>
          </w:tcPr>
          <w:p>
            <w:pPr>
              <w:spacing w:after="0" w:line="260"/>
            </w:pPr>
            <w:r>
              <w:rPr>
                <w:b/>
                <w:bCs/>
                <w:color w:val="10203A"/>
                <w:sz w:val="19"/>
                <w:szCs w:val="19"/>
              </w:rPr>
              <w:t xml:space="preserve">Field</w:t>
            </w:r>
          </w:p>
        </w:tc>
        <w:tc>
          <w:tcPr>
            <w:tcW w:type="dxa" w:w="7680"/>
            <w:shd w:fill="E8EEFC" w:color="auto" w:val="clear"/>
            <w:tcMar>
              <w:top w:type="dxa" w:w="90"/>
              <w:left w:type="dxa" w:w="130"/>
              <w:bottom w:type="dxa" w:w="90"/>
              <w:right w:type="dxa" w:w="130"/>
            </w:tcMar>
          </w:tcPr>
          <w:p>
            <w:pPr>
              <w:spacing w:after="0" w:line="260"/>
            </w:pPr>
            <w:r>
              <w:rPr>
                <w:b/>
                <w:bCs/>
                <w:color w:val="10203A"/>
                <w:sz w:val="19"/>
                <w:szCs w:val="19"/>
              </w:rPr>
              <w:t xml:space="preserve">Value</w:t>
            </w:r>
          </w:p>
        </w:tc>
      </w:tr>
      <w:tr>
        <w:tc>
          <w:tcPr>
            <w:tcW w:type="dxa" w:w="2400"/>
            <w:tcMar>
              <w:top w:type="dxa" w:w="90"/>
              <w:left w:type="dxa" w:w="130"/>
              <w:bottom w:type="dxa" w:w="90"/>
              <w:right w:type="dxa" w:w="130"/>
            </w:tcMar>
          </w:tcPr>
          <w:p>
            <w:pPr>
              <w:spacing w:after="0" w:line="260"/>
            </w:pPr>
            <w:r>
              <w:rPr>
                <w:color w:val="16202C"/>
                <w:sz w:val="19"/>
                <w:szCs w:val="19"/>
              </w:rPr>
              <w:t xml:space="preserve">Purpose</w:t>
            </w:r>
          </w:p>
        </w:tc>
        <w:tc>
          <w:tcPr>
            <w:tcW w:type="dxa" w:w="7680"/>
            <w:tcMar>
              <w:top w:type="dxa" w:w="90"/>
              <w:left w:type="dxa" w:w="130"/>
              <w:bottom w:type="dxa" w:w="90"/>
              <w:right w:type="dxa" w:w="130"/>
            </w:tcMar>
          </w:tcPr>
          <w:p>
            <w:pPr>
              <w:spacing w:after="0" w:line="260"/>
            </w:pPr>
            <w:r>
              <w:rPr>
                <w:color w:val="16202C"/>
                <w:sz w:val="19"/>
                <w:szCs w:val="19"/>
              </w:rPr>
              <w:t xml:space="preserve">Explain the design reasoning, trade-offs and decisions behind the portal - not just what was built, but why.</w:t>
            </w:r>
          </w:p>
        </w:tc>
      </w:tr>
      <w:tr>
        <w:tc>
          <w:tcPr>
            <w:tcW w:type="dxa" w:w="2400"/>
            <w:tcMar>
              <w:top w:type="dxa" w:w="90"/>
              <w:left w:type="dxa" w:w="130"/>
              <w:bottom w:type="dxa" w:w="90"/>
              <w:right w:type="dxa" w:w="130"/>
            </w:tcMar>
          </w:tcPr>
          <w:p>
            <w:pPr>
              <w:spacing w:after="0" w:line="260"/>
            </w:pPr>
            <w:r>
              <w:rPr>
                <w:color w:val="16202C"/>
                <w:sz w:val="19"/>
                <w:szCs w:val="19"/>
              </w:rPr>
              <w:t xml:space="preserve">Audience</w:t>
            </w:r>
          </w:p>
        </w:tc>
        <w:tc>
          <w:tcPr>
            <w:tcW w:type="dxa" w:w="7680"/>
            <w:tcMar>
              <w:top w:type="dxa" w:w="90"/>
              <w:left w:type="dxa" w:w="130"/>
              <w:bottom w:type="dxa" w:w="90"/>
              <w:right w:type="dxa" w:w="130"/>
            </w:tcMar>
          </w:tcPr>
          <w:p>
            <w:pPr>
              <w:spacing w:after="0" w:line="260"/>
            </w:pPr>
            <w:r>
              <w:rPr>
                <w:color w:val="16202C"/>
                <w:sz w:val="19"/>
                <w:szCs w:val="19"/>
              </w:rPr>
              <w:t xml:space="preserve">Engineering reviewers, stakeholders approving the architecture, and future maintainers.</w:t>
            </w:r>
          </w:p>
        </w:tc>
      </w:tr>
      <w:tr>
        <w:tc>
          <w:tcPr>
            <w:tcW w:type="dxa" w:w="2400"/>
            <w:tcMar>
              <w:top w:type="dxa" w:w="90"/>
              <w:left w:type="dxa" w:w="130"/>
              <w:bottom w:type="dxa" w:w="90"/>
              <w:right w:type="dxa" w:w="130"/>
            </w:tcMar>
          </w:tcPr>
          <w:p>
            <w:pPr>
              <w:spacing w:after="0" w:line="260"/>
            </w:pPr>
            <w:r>
              <w:rPr>
                <w:color w:val="16202C"/>
                <w:sz w:val="19"/>
                <w:szCs w:val="19"/>
              </w:rPr>
              <w:t xml:space="preserve">Companion documents</w:t>
            </w:r>
          </w:p>
        </w:tc>
        <w:tc>
          <w:tcPr>
            <w:tcW w:type="dxa" w:w="7680"/>
            <w:tcMar>
              <w:top w:type="dxa" w:w="90"/>
              <w:left w:type="dxa" w:w="130"/>
              <w:bottom w:type="dxa" w:w="90"/>
              <w:right w:type="dxa" w:w="130"/>
            </w:tcMar>
          </w:tcPr>
          <w:p>
            <w:pPr>
              <w:spacing w:after="0" w:line="260"/>
            </w:pPr>
            <w:r>
              <w:rPr>
                <w:color w:val="16202C"/>
                <w:sz w:val="19"/>
                <w:szCs w:val="19"/>
              </w:rPr>
              <w:t xml:space="preserve">README.md (setup) - docs/ARCHITECTURE.md (structure) - docs/API.md (endpoints) - docs/REQUIREMENTS-TRACEABILITY.md (spec mapping)</w:t>
            </w:r>
          </w:p>
        </w:tc>
      </w:tr>
      <w:tr>
        <w:tc>
          <w:tcPr>
            <w:tcW w:type="dxa" w:w="2400"/>
            <w:tcMar>
              <w:top w:type="dxa" w:w="90"/>
              <w:left w:type="dxa" w:w="130"/>
              <w:bottom w:type="dxa" w:w="90"/>
              <w:right w:type="dxa" w:w="130"/>
            </w:tcMar>
          </w:tcPr>
          <w:p>
            <w:pPr>
              <w:spacing w:after="0" w:line="260"/>
            </w:pPr>
            <w:r>
              <w:rPr>
                <w:color w:val="16202C"/>
                <w:sz w:val="19"/>
                <w:szCs w:val="19"/>
              </w:rPr>
              <w:t xml:space="preserve">Status</w:t>
            </w:r>
          </w:p>
        </w:tc>
        <w:tc>
          <w:tcPr>
            <w:tcW w:type="dxa" w:w="7680"/>
            <w:tcMar>
              <w:top w:type="dxa" w:w="90"/>
              <w:left w:type="dxa" w:w="130"/>
              <w:bottom w:type="dxa" w:w="90"/>
              <w:right w:type="dxa" w:w="130"/>
            </w:tcMar>
          </w:tcPr>
          <w:p>
            <w:pPr>
              <w:spacing w:after="0" w:line="260"/>
            </w:pPr>
            <w:r>
              <w:rPr>
                <w:color w:val="16202C"/>
                <w:sz w:val="19"/>
                <w:szCs w:val="19"/>
              </w:rPr>
              <w:t xml:space="preserve">Phase 1 (Foundation) and Phase 2 (Intervention) complete, with full CRUD across the hierarchy.</w:t>
            </w:r>
          </w:p>
        </w:tc>
      </w:tr>
    </w:tbl>
    <w:p>
      <w:pPr>
        <w:spacing w:after="260"/>
      </w:pPr>
    </w:p>
    <w:p>
      <w:pPr>
        <w:pStyle w:val="Heading1"/>
        <w:pBdr>
          <w:bottom w:val="single" w:color="DFE4EC" w:sz="8" w:space="6"/>
        </w:pBdr>
        <w:spacing w:after="160" w:before="0"/>
      </w:pPr>
      <w:r>
        <w:rPr>
          <w:b/>
          <w:bCs/>
          <w:color w:val="10203A"/>
          <w:sz w:val="30"/>
          <w:szCs w:val="30"/>
        </w:rPr>
        <w:t xml:space="preserve">1. Problem framing</w:t>
      </w:r>
    </w:p>
    <w:p>
      <w:pPr>
        <w:pStyle w:val="Heading2"/>
        <w:spacing w:after="110" w:before="260"/>
      </w:pPr>
      <w:r>
        <w:rPr>
          <w:b/>
          <w:bCs/>
          <w:color w:val="10203A"/>
          <w:sz w:val="24"/>
          <w:szCs w:val="24"/>
        </w:rPr>
        <w:t xml:space="preserve">1.1 The situation before this system</w:t>
      </w:r>
    </w:p>
    <w:p>
      <w:pPr>
        <w:spacing w:after="140" w:line="276"/>
      </w:pPr>
      <w:r>
        <w:rPr>
          <w:color w:val="16202C"/>
          <w:sz w:val="21"/>
          <w:szCs w:val="21"/>
        </w:rPr>
        <w:t xml:space="preserve">ApniLeap runs a mini-project programme across five participating engineering institutes. Each institute runs its own review cadence; there is no shared, authoritative view of which projects are healthy, which need help, and why. Progress is visible only inside each institute, usually as spreadsheets or verbal updates, and there is no consistent record of what was reviewed, what was decided, or what evidence supported a status.</w:t>
      </w:r>
    </w:p>
    <w:p>
      <w:pPr>
        <w:spacing w:after="140" w:line="276"/>
      </w:pPr>
      <w:r>
        <w:rPr>
          <w:color w:val="16202C"/>
          <w:sz w:val="21"/>
          <w:szCs w:val="21"/>
        </w:rPr>
        <w:t xml:space="preserve">This produces three concrete failure modes the design has to solve for:</w:t>
      </w:r>
    </w:p>
    <w:p>
      <w:pPr>
        <w:pStyle w:val="ListParagraph"/>
        <w:numPr>
          <w:ilvl w:val="0"/>
          <w:numId w:val="2"/>
        </w:numPr>
        <w:spacing w:after="90" w:line="276"/>
      </w:pPr>
      <w:r>
        <w:rPr>
          <w:color w:val="16202C"/>
          <w:sz w:val="21"/>
          <w:szCs w:val="21"/>
        </w:rPr>
        <w:t xml:space="preserve">A struggling project is invisible until it is too late to intervene usefully.</w:t>
      </w:r>
    </w:p>
    <w:p>
      <w:pPr>
        <w:pStyle w:val="ListParagraph"/>
        <w:numPr>
          <w:ilvl w:val="0"/>
          <w:numId w:val="2"/>
        </w:numPr>
        <w:spacing w:after="90" w:line="276"/>
      </w:pPr>
      <w:r>
        <w:rPr>
          <w:color w:val="16202C"/>
          <w:sz w:val="21"/>
          <w:szCs w:val="21"/>
        </w:rPr>
        <w:t xml:space="preserve">A "Red" status means something different at each institute, so cross-institute comparison is meaningless.</w:t>
      </w:r>
    </w:p>
    <w:p>
      <w:pPr>
        <w:pStyle w:val="ListParagraph"/>
        <w:numPr>
          <w:ilvl w:val="0"/>
          <w:numId w:val="2"/>
        </w:numPr>
        <w:spacing w:after="90" w:line="276"/>
      </w:pPr>
      <w:r>
        <w:rPr>
          <w:color w:val="16202C"/>
          <w:sz w:val="21"/>
          <w:szCs w:val="21"/>
        </w:rPr>
        <w:t xml:space="preserve">There is no institutional memory: when a reviewer changes, the history of what was tried and what happened goes with them.</w:t>
      </w:r>
    </w:p>
    <w:p>
      <w:pPr>
        <w:pStyle w:val="Heading2"/>
        <w:spacing w:after="110" w:before="260"/>
      </w:pPr>
      <w:r>
        <w:rPr>
          <w:b/>
          <w:bCs/>
          <w:color w:val="10203A"/>
          <w:sz w:val="24"/>
          <w:szCs w:val="24"/>
        </w:rPr>
        <w:t xml:space="preserve">1.2 The people this has to work for</w:t>
      </w:r>
    </w:p>
    <w:p>
      <w:pPr>
        <w:spacing w:after="140" w:line="276"/>
      </w:pPr>
      <w:r>
        <w:rPr>
          <w:color w:val="16202C"/>
          <w:sz w:val="21"/>
          <w:szCs w:val="21"/>
        </w:rPr>
        <w:t xml:space="preserve">The design centres on nine distinct vantage points into the same data - a platform administrator seeing everything, a programme leader seeing several institutes, an institute dean seeing one institute in full, a department head seeing one department, a mentor seeing their assigned projects, a reviewer seeing an assigned scope for review purposes, a read-only stakeholder, and a student who may only raise a challenge on their own project. None of these are UI-only distinctions - see section 4.</w:t>
      </w:r>
    </w:p>
    <w:p>
      <w:pPr>
        <w:pStyle w:val="Heading2"/>
        <w:spacing w:after="110" w:before="260"/>
      </w:pPr>
      <w:r>
        <w:rPr>
          <w:b/>
          <w:bCs/>
          <w:color w:val="10203A"/>
          <w:sz w:val="24"/>
          <w:szCs w:val="24"/>
        </w:rPr>
        <w:t xml:space="preserve">1.3 What "good" looks like</w:t>
      </w:r>
    </w:p>
    <w:p>
      <w:pPr>
        <w:pStyle w:val="ListParagraph"/>
        <w:numPr>
          <w:ilvl w:val="0"/>
          <w:numId w:val="2"/>
        </w:numPr>
        <w:spacing w:after="90" w:line="276"/>
      </w:pPr>
      <w:r>
        <w:rPr>
          <w:color w:val="16202C"/>
          <w:sz w:val="21"/>
          <w:szCs w:val="21"/>
        </w:rPr>
        <w:t xml:space="preserve">A dean at one institute can never see, by any means - URL editing included - a project belonging to another institute.</w:t>
      </w:r>
    </w:p>
    <w:p>
      <w:pPr>
        <w:pStyle w:val="ListParagraph"/>
        <w:numPr>
          <w:ilvl w:val="0"/>
          <w:numId w:val="2"/>
        </w:numPr>
        <w:spacing w:after="90" w:line="276"/>
      </w:pPr>
      <w:r>
        <w:rPr>
          <w:color w:val="16202C"/>
          <w:sz w:val="21"/>
          <w:szCs w:val="21"/>
        </w:rPr>
        <w:t xml:space="preserve">A Red status carries a mandatory reason and a required response, applied identically everywhere.</w:t>
      </w:r>
    </w:p>
    <w:p>
      <w:pPr>
        <w:pStyle w:val="ListParagraph"/>
        <w:numPr>
          <w:ilvl w:val="0"/>
          <w:numId w:val="2"/>
        </w:numPr>
        <w:spacing w:after="90" w:line="276"/>
      </w:pPr>
      <w:r>
        <w:rPr>
          <w:color w:val="16202C"/>
          <w:sz w:val="21"/>
          <w:szCs w:val="21"/>
        </w:rPr>
        <w:t xml:space="preserve">Nothing about a project’s status history can be quietly rewritten after the fact.</w:t>
      </w:r>
    </w:p>
    <w:p>
      <w:pPr>
        <w:pStyle w:val="ListParagraph"/>
        <w:numPr>
          <w:ilvl w:val="0"/>
          <w:numId w:val="2"/>
        </w:numPr>
        <w:spacing w:after="90" w:line="276"/>
      </w:pPr>
      <w:r>
        <w:rPr>
          <w:color w:val="16202C"/>
          <w:sz w:val="21"/>
          <w:szCs w:val="21"/>
        </w:rPr>
        <w:t xml:space="preserve">The system is usable by a non-technical faculty member without training, on a phone, in a lab, without a manual.</w:t>
      </w:r>
    </w:p>
    <w:p>
      <w:pPr>
        <w:pStyle w:val="Heading1"/>
        <w:pBdr>
          <w:bottom w:val="single" w:color="DFE4EC" w:sz="8" w:space="6"/>
        </w:pBdr>
        <w:spacing w:after="160" w:before="380"/>
      </w:pPr>
      <w:r>
        <w:rPr>
          <w:b/>
          <w:bCs/>
          <w:color w:val="10203A"/>
          <w:sz w:val="30"/>
          <w:szCs w:val="30"/>
        </w:rPr>
        <w:t xml:space="preserve">2. Design goals and non-goals</w:t>
      </w:r>
    </w:p>
    <w:p>
      <w:pPr>
        <w:pStyle w:val="Heading2"/>
        <w:spacing w:after="110" w:before="260"/>
      </w:pPr>
      <w:r>
        <w:rPr>
          <w:b/>
          <w:bCs/>
          <w:color w:val="10203A"/>
          <w:sz w:val="24"/>
          <w:szCs w:val="24"/>
        </w:rPr>
        <w:t xml:space="preserve">2.1 Goals, in priority order</w:t>
      </w:r>
    </w:p>
    <w:tbl>
      <w:tblPr>
        <w:tblW w:type="dxa" w:w="10080"/>
        <w:tblBorders>
          <w:top w:val="single" w:color="DFE4EC" w:sz="4"/>
          <w:left w:val="single" w:color="DFE4EC" w:sz="4"/>
          <w:bottom w:val="single" w:color="DFE4EC" w:sz="4"/>
          <w:right w:val="single" w:color="DFE4EC" w:sz="4"/>
          <w:insideH w:val="single" w:color="DFE4EC" w:sz="4"/>
          <w:insideV w:val="single" w:color="DFE4EC" w:sz="4"/>
        </w:tblBorders>
      </w:tblPr>
      <w:tblGrid>
        <w:gridCol w:w="650"/>
        <w:gridCol w:w="2550"/>
        <w:gridCol w:w="6880"/>
      </w:tblGrid>
      <w:tr>
        <w:trPr>
          <w:tblHeader/>
        </w:trPr>
        <w:tc>
          <w:tcPr>
            <w:tcW w:type="dxa" w:w="650"/>
            <w:shd w:fill="E8EEFC" w:color="auto" w:val="clear"/>
            <w:tcMar>
              <w:top w:type="dxa" w:w="90"/>
              <w:left w:type="dxa" w:w="130"/>
              <w:bottom w:type="dxa" w:w="90"/>
              <w:right w:type="dxa" w:w="130"/>
            </w:tcMar>
          </w:tcPr>
          <w:p>
            <w:pPr>
              <w:spacing w:after="0" w:line="260"/>
            </w:pPr>
            <w:r>
              <w:rPr>
                <w:b/>
                <w:bCs/>
                <w:color w:val="10203A"/>
                <w:sz w:val="19"/>
                <w:szCs w:val="19"/>
              </w:rPr>
              <w:t xml:space="preserve">#</w:t>
            </w:r>
          </w:p>
        </w:tc>
        <w:tc>
          <w:tcPr>
            <w:tcW w:type="dxa" w:w="2550"/>
            <w:shd w:fill="E8EEFC" w:color="auto" w:val="clear"/>
            <w:tcMar>
              <w:top w:type="dxa" w:w="90"/>
              <w:left w:type="dxa" w:w="130"/>
              <w:bottom w:type="dxa" w:w="90"/>
              <w:right w:type="dxa" w:w="130"/>
            </w:tcMar>
          </w:tcPr>
          <w:p>
            <w:pPr>
              <w:spacing w:after="0" w:line="260"/>
            </w:pPr>
            <w:r>
              <w:rPr>
                <w:b/>
                <w:bCs/>
                <w:color w:val="10203A"/>
                <w:sz w:val="19"/>
                <w:szCs w:val="19"/>
              </w:rPr>
              <w:t xml:space="preserve">Goal</w:t>
            </w:r>
          </w:p>
        </w:tc>
        <w:tc>
          <w:tcPr>
            <w:tcW w:type="dxa" w:w="6880"/>
            <w:shd w:fill="E8EEFC" w:color="auto" w:val="clear"/>
            <w:tcMar>
              <w:top w:type="dxa" w:w="90"/>
              <w:left w:type="dxa" w:w="130"/>
              <w:bottom w:type="dxa" w:w="90"/>
              <w:right w:type="dxa" w:w="130"/>
            </w:tcMar>
          </w:tcPr>
          <w:p>
            <w:pPr>
              <w:spacing w:after="0" w:line="260"/>
            </w:pPr>
            <w:r>
              <w:rPr>
                <w:b/>
                <w:bCs/>
                <w:color w:val="10203A"/>
                <w:sz w:val="19"/>
                <w:szCs w:val="19"/>
              </w:rPr>
              <w:t xml:space="preserve">Why it is a priority, not a preference</w:t>
            </w:r>
          </w:p>
        </w:tc>
      </w:tr>
      <w:tr>
        <w:tc>
          <w:tcPr>
            <w:tcW w:type="dxa" w:w="650"/>
            <w:tcMar>
              <w:top w:type="dxa" w:w="90"/>
              <w:left w:type="dxa" w:w="130"/>
              <w:bottom w:type="dxa" w:w="90"/>
              <w:right w:type="dxa" w:w="130"/>
            </w:tcMar>
          </w:tcPr>
          <w:p>
            <w:pPr>
              <w:spacing w:after="0" w:line="260"/>
            </w:pPr>
            <w:r>
              <w:rPr>
                <w:color w:val="16202C"/>
                <w:sz w:val="19"/>
                <w:szCs w:val="19"/>
              </w:rPr>
              <w:t xml:space="preserve">1</w:t>
            </w:r>
          </w:p>
        </w:tc>
        <w:tc>
          <w:tcPr>
            <w:tcW w:type="dxa" w:w="2550"/>
            <w:tcMar>
              <w:top w:type="dxa" w:w="90"/>
              <w:left w:type="dxa" w:w="130"/>
              <w:bottom w:type="dxa" w:w="90"/>
              <w:right w:type="dxa" w:w="130"/>
            </w:tcMar>
          </w:tcPr>
          <w:p>
            <w:pPr>
              <w:spacing w:after="0" w:line="260"/>
            </w:pPr>
            <w:r>
              <w:rPr>
                <w:color w:val="16202C"/>
                <w:sz w:val="19"/>
                <w:szCs w:val="19"/>
              </w:rPr>
              <w:t xml:space="preserve">Institutional data isolation</w:t>
            </w:r>
          </w:p>
        </w:tc>
        <w:tc>
          <w:tcPr>
            <w:tcW w:type="dxa" w:w="6880"/>
            <w:tcMar>
              <w:top w:type="dxa" w:w="90"/>
              <w:left w:type="dxa" w:w="130"/>
              <w:bottom w:type="dxa" w:w="90"/>
              <w:right w:type="dxa" w:w="130"/>
            </w:tcMar>
          </w:tcPr>
          <w:p>
            <w:pPr>
              <w:spacing w:after="0" w:line="260"/>
            </w:pPr>
            <w:r>
              <w:rPr>
                <w:color w:val="16202C"/>
                <w:sz w:val="19"/>
                <w:szCs w:val="19"/>
              </w:rPr>
              <w:t xml:space="preserve">A leaked project detail across institutes is not a bug, it is a trust breach the whole programme depends on avoiding. This is treated as a security requirement, enforced at the data layer - see section 4.</w:t>
            </w:r>
          </w:p>
        </w:tc>
      </w:tr>
      <w:tr>
        <w:tc>
          <w:tcPr>
            <w:tcW w:type="dxa" w:w="650"/>
            <w:tcMar>
              <w:top w:type="dxa" w:w="90"/>
              <w:left w:type="dxa" w:w="130"/>
              <w:bottom w:type="dxa" w:w="90"/>
              <w:right w:type="dxa" w:w="130"/>
            </w:tcMar>
          </w:tcPr>
          <w:p>
            <w:pPr>
              <w:spacing w:after="0" w:line="260"/>
            </w:pPr>
            <w:r>
              <w:rPr>
                <w:color w:val="16202C"/>
                <w:sz w:val="19"/>
                <w:szCs w:val="19"/>
              </w:rPr>
              <w:t xml:space="preserve">2</w:t>
            </w:r>
          </w:p>
        </w:tc>
        <w:tc>
          <w:tcPr>
            <w:tcW w:type="dxa" w:w="2550"/>
            <w:tcMar>
              <w:top w:type="dxa" w:w="90"/>
              <w:left w:type="dxa" w:w="130"/>
              <w:bottom w:type="dxa" w:w="90"/>
              <w:right w:type="dxa" w:w="130"/>
            </w:tcMar>
          </w:tcPr>
          <w:p>
            <w:pPr>
              <w:spacing w:after="0" w:line="260"/>
            </w:pPr>
            <w:r>
              <w:rPr>
                <w:color w:val="16202C"/>
                <w:sz w:val="19"/>
                <w:szCs w:val="19"/>
              </w:rPr>
              <w:t xml:space="preserve">An honest, auditable record</w:t>
            </w:r>
          </w:p>
        </w:tc>
        <w:tc>
          <w:tcPr>
            <w:tcW w:type="dxa" w:w="6880"/>
            <w:tcMar>
              <w:top w:type="dxa" w:w="90"/>
              <w:left w:type="dxa" w:w="130"/>
              <w:bottom w:type="dxa" w:w="90"/>
              <w:right w:type="dxa" w:w="130"/>
            </w:tcMar>
          </w:tcPr>
          <w:p>
            <w:pPr>
              <w:spacing w:after="0" w:line="260"/>
            </w:pPr>
            <w:r>
              <w:rPr>
                <w:color w:val="16202C"/>
                <w:sz w:val="19"/>
                <w:szCs w:val="19"/>
              </w:rPr>
              <w:t xml:space="preserve">The value of the portal is the history it accumulates. If that history can be edited after the fact, it is worthless as evidence in a review.</w:t>
            </w:r>
          </w:p>
        </w:tc>
      </w:tr>
      <w:tr>
        <w:tc>
          <w:tcPr>
            <w:tcW w:type="dxa" w:w="650"/>
            <w:tcMar>
              <w:top w:type="dxa" w:w="90"/>
              <w:left w:type="dxa" w:w="130"/>
              <w:bottom w:type="dxa" w:w="90"/>
              <w:right w:type="dxa" w:w="130"/>
            </w:tcMar>
          </w:tcPr>
          <w:p>
            <w:pPr>
              <w:spacing w:after="0" w:line="260"/>
            </w:pPr>
            <w:r>
              <w:rPr>
                <w:color w:val="16202C"/>
                <w:sz w:val="19"/>
                <w:szCs w:val="19"/>
              </w:rPr>
              <w:t xml:space="preserve">3</w:t>
            </w:r>
          </w:p>
        </w:tc>
        <w:tc>
          <w:tcPr>
            <w:tcW w:type="dxa" w:w="2550"/>
            <w:tcMar>
              <w:top w:type="dxa" w:w="90"/>
              <w:left w:type="dxa" w:w="130"/>
              <w:bottom w:type="dxa" w:w="90"/>
              <w:right w:type="dxa" w:w="130"/>
            </w:tcMar>
          </w:tcPr>
          <w:p>
            <w:pPr>
              <w:spacing w:after="0" w:line="260"/>
            </w:pPr>
            <w:r>
              <w:rPr>
                <w:color w:val="16202C"/>
                <w:sz w:val="19"/>
                <w:szCs w:val="19"/>
              </w:rPr>
              <w:t xml:space="preserve">Low operational burden</w:t>
            </w:r>
          </w:p>
        </w:tc>
        <w:tc>
          <w:tcPr>
            <w:tcW w:type="dxa" w:w="6880"/>
            <w:tcMar>
              <w:top w:type="dxa" w:w="90"/>
              <w:left w:type="dxa" w:w="130"/>
              <w:bottom w:type="dxa" w:w="90"/>
              <w:right w:type="dxa" w:w="130"/>
            </w:tcMar>
          </w:tcPr>
          <w:p>
            <w:pPr>
              <w:spacing w:after="0" w:line="260"/>
            </w:pPr>
            <w:r>
              <w:rPr>
                <w:color w:val="16202C"/>
                <w:sz w:val="19"/>
                <w:szCs w:val="19"/>
              </w:rPr>
              <w:t xml:space="preserve">The programme has no dedicated ops team. A single SQLite file with WAL mode, one process, and no external services to keep alive was chosen deliberately over a "more scalable" multi-service design nobody would maintain.</w:t>
            </w:r>
          </w:p>
        </w:tc>
      </w:tr>
      <w:tr>
        <w:tc>
          <w:tcPr>
            <w:tcW w:type="dxa" w:w="650"/>
            <w:tcMar>
              <w:top w:type="dxa" w:w="90"/>
              <w:left w:type="dxa" w:w="130"/>
              <w:bottom w:type="dxa" w:w="90"/>
              <w:right w:type="dxa" w:w="130"/>
            </w:tcMar>
          </w:tcPr>
          <w:p>
            <w:pPr>
              <w:spacing w:after="0" w:line="260"/>
            </w:pPr>
            <w:r>
              <w:rPr>
                <w:color w:val="16202C"/>
                <w:sz w:val="19"/>
                <w:szCs w:val="19"/>
              </w:rPr>
              <w:t xml:space="preserve">4</w:t>
            </w:r>
          </w:p>
        </w:tc>
        <w:tc>
          <w:tcPr>
            <w:tcW w:type="dxa" w:w="2550"/>
            <w:tcMar>
              <w:top w:type="dxa" w:w="90"/>
              <w:left w:type="dxa" w:w="130"/>
              <w:bottom w:type="dxa" w:w="90"/>
              <w:right w:type="dxa" w:w="130"/>
            </w:tcMar>
          </w:tcPr>
          <w:p>
            <w:pPr>
              <w:spacing w:after="0" w:line="260"/>
            </w:pPr>
            <w:r>
              <w:rPr>
                <w:color w:val="16202C"/>
                <w:sz w:val="19"/>
                <w:szCs w:val="19"/>
              </w:rPr>
              <w:t xml:space="preserve">Usable without training</w:t>
            </w:r>
          </w:p>
        </w:tc>
        <w:tc>
          <w:tcPr>
            <w:tcW w:type="dxa" w:w="6880"/>
            <w:tcMar>
              <w:top w:type="dxa" w:w="90"/>
              <w:left w:type="dxa" w:w="130"/>
              <w:bottom w:type="dxa" w:w="90"/>
              <w:right w:type="dxa" w:w="130"/>
            </w:tcMar>
          </w:tcPr>
          <w:p>
            <w:pPr>
              <w:spacing w:after="0" w:line="260"/>
            </w:pPr>
            <w:r>
              <w:rPr>
                <w:color w:val="16202C"/>
                <w:sz w:val="19"/>
                <w:szCs w:val="19"/>
              </w:rPr>
              <w:t xml:space="preserve">Faculty mentors are not the target audience for a "technical tool". The interface has to explain itself - see section 7.</w:t>
            </w:r>
          </w:p>
        </w:tc>
      </w:tr>
      <w:tr>
        <w:tc>
          <w:tcPr>
            <w:tcW w:type="dxa" w:w="650"/>
            <w:tcMar>
              <w:top w:type="dxa" w:w="90"/>
              <w:left w:type="dxa" w:w="130"/>
              <w:bottom w:type="dxa" w:w="90"/>
              <w:right w:type="dxa" w:w="130"/>
            </w:tcMar>
          </w:tcPr>
          <w:p>
            <w:pPr>
              <w:spacing w:after="0" w:line="260"/>
            </w:pPr>
            <w:r>
              <w:rPr>
                <w:color w:val="16202C"/>
                <w:sz w:val="19"/>
                <w:szCs w:val="19"/>
              </w:rPr>
              <w:t xml:space="preserve">5</w:t>
            </w:r>
          </w:p>
        </w:tc>
        <w:tc>
          <w:tcPr>
            <w:tcW w:type="dxa" w:w="2550"/>
            <w:tcMar>
              <w:top w:type="dxa" w:w="90"/>
              <w:left w:type="dxa" w:w="130"/>
              <w:bottom w:type="dxa" w:w="90"/>
              <w:right w:type="dxa" w:w="130"/>
            </w:tcMar>
          </w:tcPr>
          <w:p>
            <w:pPr>
              <w:spacing w:after="0" w:line="260"/>
            </w:pPr>
            <w:r>
              <w:rPr>
                <w:color w:val="16202C"/>
                <w:sz w:val="19"/>
                <w:szCs w:val="19"/>
              </w:rPr>
              <w:t xml:space="preserve">Configurable without redeployment</w:t>
            </w:r>
          </w:p>
        </w:tc>
        <w:tc>
          <w:tcPr>
            <w:tcW w:type="dxa" w:w="6880"/>
            <w:tcMar>
              <w:top w:type="dxa" w:w="90"/>
              <w:left w:type="dxa" w:w="130"/>
              <w:bottom w:type="dxa" w:w="90"/>
              <w:right w:type="dxa" w:w="130"/>
            </w:tcMar>
          </w:tcPr>
          <w:p>
            <w:pPr>
              <w:spacing w:after="0" w:line="260"/>
            </w:pPr>
            <w:r>
              <w:rPr>
                <w:color w:val="16202C"/>
                <w:sz w:val="19"/>
                <w:szCs w:val="19"/>
              </w:rPr>
              <w:t xml:space="preserve">Institutes, departments, roles and thresholds are data, not code, so the programme can grow without an engineering request each time.</w:t>
            </w:r>
          </w:p>
        </w:tc>
      </w:tr>
    </w:tbl>
    <w:p>
      <w:pPr>
        <w:pStyle w:val="Heading2"/>
        <w:spacing w:after="110" w:before="260"/>
      </w:pPr>
      <w:r>
        <w:rPr>
          <w:b/>
          <w:bCs/>
          <w:color w:val="10203A"/>
          <w:sz w:val="24"/>
          <w:szCs w:val="24"/>
        </w:rPr>
        <w:t xml:space="preserve">2.2 Explicit non-goals for this phase</w:t>
      </w:r>
    </w:p>
    <w:p>
      <w:pPr>
        <w:pStyle w:val="ListParagraph"/>
        <w:numPr>
          <w:ilvl w:val="0"/>
          <w:numId w:val="2"/>
        </w:numPr>
        <w:spacing w:after="90" w:line="276"/>
      </w:pPr>
      <w:r>
        <w:rPr>
          <w:color w:val="16202C"/>
          <w:sz w:val="21"/>
          <w:szCs w:val="21"/>
        </w:rPr>
        <w:t xml:space="preserve">Predicting project outcomes with a model. An advisory, rule-based recommendation exists (section 6.4); a trained model is deliberately deferred until enough real review data exists to train one honestly.</w:t>
      </w:r>
    </w:p>
    <w:p>
      <w:pPr>
        <w:pStyle w:val="ListParagraph"/>
        <w:numPr>
          <w:ilvl w:val="0"/>
          <w:numId w:val="2"/>
        </w:numPr>
        <w:spacing w:after="90" w:line="276"/>
      </w:pPr>
      <w:r>
        <w:rPr>
          <w:color w:val="16202C"/>
          <w:sz w:val="21"/>
          <w:szCs w:val="21"/>
        </w:rPr>
        <w:t xml:space="preserve">Replacing GitHub. The portal stores links to repositories, not the repositories themselves.</w:t>
      </w:r>
    </w:p>
    <w:p>
      <w:pPr>
        <w:pStyle w:val="ListParagraph"/>
        <w:numPr>
          <w:ilvl w:val="0"/>
          <w:numId w:val="2"/>
        </w:numPr>
        <w:spacing w:after="90" w:line="276"/>
      </w:pPr>
      <w:r>
        <w:rPr>
          <w:color w:val="16202C"/>
          <w:sz w:val="21"/>
          <w:szCs w:val="21"/>
        </w:rPr>
        <w:t xml:space="preserve">Public visibility. Every view requires authentication; there is no public project directory.</w:t>
      </w:r>
    </w:p>
    <w:p>
      <w:pPr>
        <w:pStyle w:val="ListParagraph"/>
        <w:numPr>
          <w:ilvl w:val="0"/>
          <w:numId w:val="2"/>
        </w:numPr>
        <w:spacing w:after="90" w:line="276"/>
      </w:pPr>
      <w:r>
        <w:rPr>
          <w:color w:val="16202C"/>
          <w:sz w:val="21"/>
          <w:szCs w:val="21"/>
        </w:rPr>
        <w:t xml:space="preserve">Grading or attendance. These belong to an LMS, not a portfolio monitor.</w:t>
      </w:r>
    </w:p>
    <w:p>
      <w:pPr>
        <w:pStyle w:val="Heading1"/>
        <w:pBdr>
          <w:bottom w:val="single" w:color="DFE4EC" w:sz="8" w:space="6"/>
        </w:pBdr>
        <w:spacing w:after="160" w:before="380"/>
      </w:pPr>
      <w:r>
        <w:rPr>
          <w:b/>
          <w:bCs/>
          <w:color w:val="10203A"/>
          <w:sz w:val="30"/>
          <w:szCs w:val="30"/>
        </w:rPr>
        <w:t xml:space="preserve">3. Architecture at a glance</w:t>
      </w:r>
    </w:p>
    <w:p>
      <w:pPr>
        <w:spacing w:after="140" w:line="276"/>
      </w:pPr>
      <w:r>
        <w:rPr>
          <w:color w:val="16202C"/>
          <w:sz w:val="21"/>
          <w:szCs w:val="21"/>
        </w:rPr>
        <w:t xml:space="preserve">A conventional three-tier shape, chosen because nothing about the problem needs more: a React front end, an Express API that is the single point of authorization enforcement, and a relational database that is the source of truth. The interesting design decisions are not in the shape - they are in what each layer is and is not allowed to do.</w:t>
      </w:r>
    </w:p>
    <w:p>
      <w:pPr>
        <w:pBdr>
          <w:left w:val="single" w:color="1D4ED8" w:sz="12" w:space="8"/>
        </w:pBdr>
        <w:shd w:fill="F4F6FA" w:color="auto" w:val="clear"/>
        <w:spacing w:after="0" w:before="60" w:line="250"/>
        <w:ind w:left="220" w:right="220"/>
      </w:pPr>
      <w:r>
        <w:rPr>
          <w:rFonts w:ascii="Consolas" w:cs="Consolas" w:eastAsia="Consolas" w:hAnsi="Consolas"/>
          <w:color w:val="1B2B45"/>
          <w:sz w:val="18"/>
          <w:szCs w:val="18"/>
        </w:rPr>
        <w:t xml:space="preserve">  Browser (React + TypeScript)</w:t>
      </w:r>
    </w:p>
    <w:p>
      <w:pPr>
        <w:pBdr>
          <w:left w:val="single" w:color="1D4ED8" w:sz="12" w:space="8"/>
        </w:pBdr>
        <w:shd w:fill="F4F6FA" w:color="auto" w:val="clear"/>
        <w:spacing w:after="0" w:before="0" w:line="250"/>
        <w:ind w:left="220" w:right="220"/>
      </w:pPr>
      <w:r>
        <w:rPr>
          <w:rFonts w:ascii="Consolas" w:cs="Consolas" w:eastAsia="Consolas" w:hAnsi="Consolas"/>
          <w:color w:val="1B2B45"/>
          <w:sz w:val="18"/>
          <w:szCs w:val="18"/>
        </w:rPr>
        <w:t xml:space="preserve">     |  same-origin fetch, httpOnly session cookie</w:t>
      </w:r>
    </w:p>
    <w:p>
      <w:pPr>
        <w:pBdr>
          <w:left w:val="single" w:color="1D4ED8" w:sz="12" w:space="8"/>
        </w:pBdr>
        <w:shd w:fill="F4F6FA" w:color="auto" w:val="clear"/>
        <w:spacing w:after="0" w:before="0" w:line="250"/>
        <w:ind w:left="220" w:right="220"/>
      </w:pPr>
      <w:r>
        <w:rPr>
          <w:rFonts w:ascii="Consolas" w:cs="Consolas" w:eastAsia="Consolas" w:hAnsi="Consolas"/>
          <w:color w:val="1B2B45"/>
          <w:sz w:val="18"/>
          <w:szCs w:val="18"/>
        </w:rPr>
        <w:t xml:space="preserve">     v</w:t>
      </w:r>
    </w:p>
    <w:p>
      <w:pPr>
        <w:pBdr>
          <w:left w:val="single" w:color="1D4ED8" w:sz="12" w:space="8"/>
        </w:pBdr>
        <w:shd w:fill="F4F6FA" w:color="auto" w:val="clear"/>
        <w:spacing w:after="0" w:before="0" w:line="250"/>
        <w:ind w:left="220" w:right="220"/>
      </w:pPr>
      <w:r>
        <w:rPr>
          <w:rFonts w:ascii="Consolas" w:cs="Consolas" w:eastAsia="Consolas" w:hAnsi="Consolas"/>
          <w:color w:val="1B2B45"/>
          <w:sz w:val="18"/>
          <w:szCs w:val="18"/>
        </w:rPr>
        <w:t xml:space="preserve">  Express API</w:t>
      </w:r>
    </w:p>
    <w:p>
      <w:pPr>
        <w:pBdr>
          <w:left w:val="single" w:color="1D4ED8" w:sz="12" w:space="8"/>
        </w:pBdr>
        <w:shd w:fill="F4F6FA" w:color="auto" w:val="clear"/>
        <w:spacing w:after="0" w:before="0" w:line="250"/>
        <w:ind w:left="220" w:right="220"/>
      </w:pPr>
      <w:r>
        <w:rPr>
          <w:rFonts w:ascii="Consolas" w:cs="Consolas" w:eastAsia="Consolas" w:hAnsi="Consolas"/>
          <w:color w:val="1B2B45"/>
          <w:sz w:val="18"/>
          <w:szCs w:val="18"/>
        </w:rPr>
        <w:t xml:space="preserve">     authenticate -&gt; resolve scope -&gt; authorize record -&gt; validate -&gt; handler -&gt; audit</w:t>
      </w:r>
    </w:p>
    <w:p>
      <w:pPr>
        <w:pBdr>
          <w:left w:val="single" w:color="1D4ED8" w:sz="12" w:space="8"/>
        </w:pBdr>
        <w:shd w:fill="F4F6FA" w:color="auto" w:val="clear"/>
        <w:spacing w:after="0" w:before="0" w:line="250"/>
        <w:ind w:left="220" w:right="220"/>
      </w:pPr>
      <w:r>
        <w:rPr>
          <w:rFonts w:ascii="Consolas" w:cs="Consolas" w:eastAsia="Consolas" w:hAnsi="Consolas"/>
          <w:color w:val="1B2B45"/>
          <w:sz w:val="18"/>
          <w:szCs w:val="18"/>
        </w:rPr>
        <w:t xml:space="preserve">     |</w:t>
      </w:r>
    </w:p>
    <w:p>
      <w:pPr>
        <w:pBdr>
          <w:left w:val="single" w:color="1D4ED8" w:sz="12" w:space="8"/>
        </w:pBdr>
        <w:shd w:fill="F4F6FA" w:color="auto" w:val="clear"/>
        <w:spacing w:after="0" w:before="0" w:line="250"/>
        <w:ind w:left="220" w:right="220"/>
      </w:pPr>
      <w:r>
        <w:rPr>
          <w:rFonts w:ascii="Consolas" w:cs="Consolas" w:eastAsia="Consolas" w:hAnsi="Consolas"/>
          <w:color w:val="1B2B45"/>
          <w:sz w:val="18"/>
          <w:szCs w:val="18"/>
        </w:rPr>
        <w:t xml:space="preserve">     v</w:t>
      </w:r>
    </w:p>
    <w:p>
      <w:pPr>
        <w:pBdr>
          <w:left w:val="single" w:color="1D4ED8" w:sz="12" w:space="8"/>
        </w:pBdr>
        <w:shd w:fill="F4F6FA" w:color="auto" w:val="clear"/>
        <w:spacing w:after="0" w:before="0" w:line="250"/>
        <w:ind w:left="220" w:right="220"/>
      </w:pPr>
      <w:r>
        <w:rPr>
          <w:rFonts w:ascii="Consolas" w:cs="Consolas" w:eastAsia="Consolas" w:hAnsi="Consolas"/>
          <w:color w:val="1B2B45"/>
          <w:sz w:val="18"/>
          <w:szCs w:val="18"/>
        </w:rPr>
        <w:t xml:space="preserve">  SQLite (relational, WAL mode)</w:t>
      </w:r>
    </w:p>
    <w:p>
      <w:pPr>
        <w:pBdr>
          <w:left w:val="single" w:color="1D4ED8" w:sz="12" w:space="8"/>
        </w:pBdr>
        <w:shd w:fill="F4F6FA" w:color="auto" w:val="clear"/>
        <w:spacing w:after="200" w:before="0" w:line="250"/>
        <w:ind w:left="220" w:right="220"/>
      </w:pPr>
      <w:r>
        <w:rPr>
          <w:rFonts w:ascii="Consolas" w:cs="Consolas" w:eastAsia="Consolas" w:hAnsi="Consolas"/>
          <w:color w:val="1B2B45"/>
          <w:sz w:val="18"/>
          <w:szCs w:val="18"/>
        </w:rPr>
        <w:t xml:space="preserve">     18 tables, 23 indexes, foreign keys ON, append-only triggers on 2 tables</w:t>
      </w:r>
    </w:p>
    <w:p>
      <w:pPr>
        <w:pStyle w:val="Heading3"/>
        <w:spacing w:after="90" w:before="200"/>
      </w:pPr>
      <w:r>
        <w:rPr>
          <w:b/>
          <w:bCs/>
          <w:color w:val="16202C"/>
          <w:sz w:val="21"/>
          <w:szCs w:val="21"/>
        </w:rPr>
        <w:t xml:space="preserve">Why the API is the only place authorization happens</w:t>
      </w:r>
    </w:p>
    <w:p>
      <w:pPr>
        <w:spacing w:after="140" w:line="276"/>
      </w:pPr>
      <w:r>
        <w:rPr>
          <w:color w:val="16202C"/>
          <w:sz w:val="21"/>
          <w:szCs w:val="21"/>
        </w:rPr>
        <w:t xml:space="preserve">The front end reads a list of permission strings from the server and uses them only to decide what to render - never to decide what is allowed. Every single mutating request is re-checked against the caller’s access grants on the server, using the same scope resolution used for reads. A user who edits the DOM, replays a request, or calls the API directly gets exactly the same enforcement as someone clicking a button. This is not a defence-in-depth nicety; it is the only enforcement that exists. See section 4 for why.</w:t>
      </w:r>
    </w:p>
    <w:p>
      <w:pPr>
        <w:pStyle w:val="Heading3"/>
        <w:spacing w:after="90" w:before="200"/>
      </w:pPr>
      <w:r>
        <w:rPr>
          <w:b/>
          <w:bCs/>
          <w:color w:val="16202C"/>
          <w:sz w:val="21"/>
          <w:szCs w:val="21"/>
        </w:rPr>
        <w:t xml:space="preserve">Why SQLite, not Postgres, for this phase</w:t>
      </w:r>
    </w:p>
    <w:tbl>
      <w:tblPr>
        <w:tblW w:type="dxa" w:w="9680"/>
        <w:tblBorders>
          <w:top w:val="single" w:color="DFE4EC" w:sz="4"/>
          <w:left w:val="single" w:color="DFE4EC" w:sz="4"/>
          <w:bottom w:val="single" w:color="DFE4EC" w:sz="4"/>
          <w:right w:val="single" w:color="DFE4EC" w:sz="4"/>
          <w:insideH w:val="single" w:color="DFE4EC" w:sz="4"/>
          <w:insideV w:val="single" w:color="DFE4EC" w:sz="4"/>
        </w:tblBorders>
      </w:tblPr>
      <w:tblGrid>
        <w:gridCol w:w="3200"/>
        <w:gridCol w:w="3240"/>
        <w:gridCol w:w="3240"/>
      </w:tblGrid>
      <w:tr>
        <w:trPr>
          <w:tblHeader/>
        </w:trPr>
        <w:tc>
          <w:tcPr>
            <w:tcW w:type="dxa" w:w="3200"/>
            <w:shd w:fill="E8EEFC" w:color="auto" w:val="clear"/>
            <w:tcMar>
              <w:top w:type="dxa" w:w="90"/>
              <w:left w:type="dxa" w:w="130"/>
              <w:bottom w:type="dxa" w:w="90"/>
              <w:right w:type="dxa" w:w="130"/>
            </w:tcMar>
          </w:tcPr>
          <w:p>
            <w:pPr>
              <w:spacing w:after="0" w:line="260"/>
            </w:pPr>
            <w:r>
              <w:rPr>
                <w:b/>
                <w:bCs/>
                <w:color w:val="10203A"/>
                <w:sz w:val="19"/>
                <w:szCs w:val="19"/>
              </w:rPr>
              <w:t xml:space="preserve">Consideration</w:t>
            </w:r>
          </w:p>
        </w:tc>
        <w:tc>
          <w:tcPr>
            <w:tcW w:type="dxa" w:w="3240"/>
            <w:shd w:fill="E8EEFC" w:color="auto" w:val="clear"/>
            <w:tcMar>
              <w:top w:type="dxa" w:w="90"/>
              <w:left w:type="dxa" w:w="130"/>
              <w:bottom w:type="dxa" w:w="90"/>
              <w:right w:type="dxa" w:w="130"/>
            </w:tcMar>
          </w:tcPr>
          <w:p>
            <w:pPr>
              <w:spacing w:after="0" w:line="260"/>
            </w:pPr>
            <w:r>
              <w:rPr>
                <w:b/>
                <w:bCs/>
                <w:color w:val="10203A"/>
                <w:sz w:val="19"/>
                <w:szCs w:val="19"/>
              </w:rPr>
              <w:t xml:space="preserve">SQLite (chosen)</w:t>
            </w:r>
          </w:p>
        </w:tc>
        <w:tc>
          <w:tcPr>
            <w:tcW w:type="dxa" w:w="3240"/>
            <w:shd w:fill="E8EEFC" w:color="auto" w:val="clear"/>
            <w:tcMar>
              <w:top w:type="dxa" w:w="90"/>
              <w:left w:type="dxa" w:w="130"/>
              <w:bottom w:type="dxa" w:w="90"/>
              <w:right w:type="dxa" w:w="130"/>
            </w:tcMar>
          </w:tcPr>
          <w:p>
            <w:pPr>
              <w:spacing w:after="0" w:line="260"/>
            </w:pPr>
            <w:r>
              <w:rPr>
                <w:b/>
                <w:bCs/>
                <w:color w:val="10203A"/>
                <w:sz w:val="19"/>
                <w:szCs w:val="19"/>
              </w:rPr>
              <w:t xml:space="preserve">Postgres (deferred)</w:t>
            </w:r>
          </w:p>
        </w:tc>
      </w:tr>
      <w:tr>
        <w:tc>
          <w:tcPr>
            <w:tcW w:type="dxa" w:w="3200"/>
            <w:tcMar>
              <w:top w:type="dxa" w:w="90"/>
              <w:left w:type="dxa" w:w="130"/>
              <w:bottom w:type="dxa" w:w="90"/>
              <w:right w:type="dxa" w:w="130"/>
            </w:tcMar>
          </w:tcPr>
          <w:p>
            <w:pPr>
              <w:spacing w:after="0" w:line="260"/>
            </w:pPr>
            <w:r>
              <w:rPr>
                <w:color w:val="16202C"/>
                <w:sz w:val="19"/>
                <w:szCs w:val="19"/>
              </w:rPr>
              <w:t xml:space="preserve">Operational burden</w:t>
            </w:r>
          </w:p>
        </w:tc>
        <w:tc>
          <w:tcPr>
            <w:tcW w:type="dxa" w:w="3240"/>
            <w:tcMar>
              <w:top w:type="dxa" w:w="90"/>
              <w:left w:type="dxa" w:w="130"/>
              <w:bottom w:type="dxa" w:w="90"/>
              <w:right w:type="dxa" w:w="130"/>
            </w:tcMar>
          </w:tcPr>
          <w:p>
            <w:pPr>
              <w:spacing w:after="0" w:line="260"/>
            </w:pPr>
            <w:r>
              <w:rPr>
                <w:color w:val="16202C"/>
                <w:sz w:val="19"/>
                <w:szCs w:val="19"/>
              </w:rPr>
              <w:t xml:space="preserve">One file, no server process to run or patch</w:t>
            </w:r>
          </w:p>
        </w:tc>
        <w:tc>
          <w:tcPr>
            <w:tcW w:type="dxa" w:w="3240"/>
            <w:tcMar>
              <w:top w:type="dxa" w:w="90"/>
              <w:left w:type="dxa" w:w="130"/>
              <w:bottom w:type="dxa" w:w="90"/>
              <w:right w:type="dxa" w:w="130"/>
            </w:tcMar>
          </w:tcPr>
          <w:p>
            <w:pPr>
              <w:spacing w:after="0" w:line="260"/>
            </w:pPr>
            <w:r>
              <w:rPr>
                <w:color w:val="16202C"/>
                <w:sz w:val="19"/>
                <w:szCs w:val="19"/>
              </w:rPr>
              <w:t xml:space="preserve">A managed instance, connection pooling, credentials to rotate</w:t>
            </w:r>
          </w:p>
        </w:tc>
      </w:tr>
      <w:tr>
        <w:tc>
          <w:tcPr>
            <w:tcW w:type="dxa" w:w="3200"/>
            <w:tcMar>
              <w:top w:type="dxa" w:w="90"/>
              <w:left w:type="dxa" w:w="130"/>
              <w:bottom w:type="dxa" w:w="90"/>
              <w:right w:type="dxa" w:w="130"/>
            </w:tcMar>
          </w:tcPr>
          <w:p>
            <w:pPr>
              <w:spacing w:after="0" w:line="260"/>
            </w:pPr>
            <w:r>
              <w:rPr>
                <w:color w:val="16202C"/>
                <w:sz w:val="19"/>
                <w:szCs w:val="19"/>
              </w:rPr>
              <w:t xml:space="preserve">Fit for pilot scale</w:t>
            </w:r>
          </w:p>
        </w:tc>
        <w:tc>
          <w:tcPr>
            <w:tcW w:type="dxa" w:w="3240"/>
            <w:tcMar>
              <w:top w:type="dxa" w:w="90"/>
              <w:left w:type="dxa" w:w="130"/>
              <w:bottom w:type="dxa" w:w="90"/>
              <w:right w:type="dxa" w:w="130"/>
            </w:tcMar>
          </w:tcPr>
          <w:p>
            <w:pPr>
              <w:spacing w:after="0" w:line="260"/>
            </w:pPr>
            <w:r>
              <w:rPr>
                <w:color w:val="16202C"/>
                <w:sz w:val="19"/>
                <w:szCs w:val="19"/>
              </w:rPr>
              <w:t xml:space="preserve">Comfortably handles single-digit thousands of projects across five institutes</w:t>
            </w:r>
          </w:p>
        </w:tc>
        <w:tc>
          <w:tcPr>
            <w:tcW w:type="dxa" w:w="3240"/>
            <w:tcMar>
              <w:top w:type="dxa" w:w="90"/>
              <w:left w:type="dxa" w:w="130"/>
              <w:bottom w:type="dxa" w:w="90"/>
              <w:right w:type="dxa" w:w="130"/>
            </w:tcMar>
          </w:tcPr>
          <w:p>
            <w:pPr>
              <w:spacing w:after="0" w:line="260"/>
            </w:pPr>
            <w:r>
              <w:rPr>
                <w:color w:val="16202C"/>
                <w:sz w:val="19"/>
                <w:szCs w:val="19"/>
              </w:rPr>
              <w:t xml:space="preserve">Headroom the pilot does not need yet</w:t>
            </w:r>
          </w:p>
        </w:tc>
      </w:tr>
      <w:tr>
        <w:tc>
          <w:tcPr>
            <w:tcW w:type="dxa" w:w="3200"/>
            <w:tcMar>
              <w:top w:type="dxa" w:w="90"/>
              <w:left w:type="dxa" w:w="130"/>
              <w:bottom w:type="dxa" w:w="90"/>
              <w:right w:type="dxa" w:w="130"/>
            </w:tcMar>
          </w:tcPr>
          <w:p>
            <w:pPr>
              <w:spacing w:after="0" w:line="260"/>
            </w:pPr>
            <w:r>
              <w:rPr>
                <w:color w:val="16202C"/>
                <w:sz w:val="19"/>
                <w:szCs w:val="19"/>
              </w:rPr>
              <w:t xml:space="preserve">Migration cost later</w:t>
            </w:r>
          </w:p>
        </w:tc>
        <w:tc>
          <w:tcPr>
            <w:tcW w:type="dxa" w:w="3240"/>
            <w:tcMar>
              <w:top w:type="dxa" w:w="90"/>
              <w:left w:type="dxa" w:w="130"/>
              <w:bottom w:type="dxa" w:w="90"/>
              <w:right w:type="dxa" w:w="130"/>
            </w:tcMar>
          </w:tcPr>
          <w:p>
            <w:pPr>
              <w:spacing w:after="0" w:line="260"/>
            </w:pPr>
            <w:r>
              <w:rPr>
                <w:color w:val="16202C"/>
                <w:sz w:val="19"/>
                <w:szCs w:val="19"/>
              </w:rPr>
              <w:t xml:space="preserve">Schema is plain SQL with no SQLite-only features beyond datetime()/julianday()</w:t>
            </w:r>
          </w:p>
        </w:tc>
        <w:tc>
          <w:tcPr>
            <w:tcW w:type="dxa" w:w="3240"/>
            <w:tcMar>
              <w:top w:type="dxa" w:w="90"/>
              <w:left w:type="dxa" w:w="130"/>
              <w:bottom w:type="dxa" w:w="90"/>
              <w:right w:type="dxa" w:w="130"/>
            </w:tcMar>
          </w:tcPr>
          <w:p>
            <w:pPr>
              <w:spacing w:after="0" w:line="260"/>
            </w:pPr>
            <w:r>
              <w:rPr>
                <w:color w:val="16202C"/>
                <w:sz w:val="19"/>
                <w:szCs w:val="19"/>
              </w:rPr>
              <w:t xml:space="preserve">A near-mechanical port when multi-node write concurrency is actually needed</w:t>
            </w:r>
          </w:p>
        </w:tc>
      </w:tr>
      <w:tr>
        <w:tc>
          <w:tcPr>
            <w:tcW w:type="dxa" w:w="3200"/>
            <w:tcMar>
              <w:top w:type="dxa" w:w="90"/>
              <w:left w:type="dxa" w:w="130"/>
              <w:bottom w:type="dxa" w:w="90"/>
              <w:right w:type="dxa" w:w="130"/>
            </w:tcMar>
          </w:tcPr>
          <w:p>
            <w:pPr>
              <w:spacing w:after="0" w:line="260"/>
            </w:pPr>
            <w:r>
              <w:rPr>
                <w:color w:val="16202C"/>
                <w:sz w:val="19"/>
                <w:szCs w:val="19"/>
              </w:rPr>
              <w:t xml:space="preserve">Local development</w:t>
            </w:r>
          </w:p>
        </w:tc>
        <w:tc>
          <w:tcPr>
            <w:tcW w:type="dxa" w:w="3240"/>
            <w:tcMar>
              <w:top w:type="dxa" w:w="90"/>
              <w:left w:type="dxa" w:w="130"/>
              <w:bottom w:type="dxa" w:w="90"/>
              <w:right w:type="dxa" w:w="130"/>
            </w:tcMar>
          </w:tcPr>
          <w:p>
            <w:pPr>
              <w:spacing w:after="0" w:line="260"/>
            </w:pPr>
            <w:r>
              <w:rPr>
                <w:color w:val="16202C"/>
                <w:sz w:val="19"/>
                <w:szCs w:val="19"/>
              </w:rPr>
              <w:t xml:space="preserve">Zero setup: clone, npm install, npm run seed</w:t>
            </w:r>
          </w:p>
        </w:tc>
        <w:tc>
          <w:tcPr>
            <w:tcW w:type="dxa" w:w="3240"/>
            <w:tcMar>
              <w:top w:type="dxa" w:w="90"/>
              <w:left w:type="dxa" w:w="130"/>
              <w:bottom w:type="dxa" w:w="90"/>
              <w:right w:type="dxa" w:w="130"/>
            </w:tcMar>
          </w:tcPr>
          <w:p>
            <w:pPr>
              <w:spacing w:after="0" w:line="260"/>
            </w:pPr>
            <w:r>
              <w:rPr>
                <w:color w:val="16202C"/>
                <w:sz w:val="19"/>
                <w:szCs w:val="19"/>
              </w:rPr>
              <w:t xml:space="preserve">Requires a running database service per developer</w:t>
            </w:r>
          </w:p>
        </w:tc>
      </w:tr>
    </w:tbl>
    <w:p>
      <w:pPr>
        <w:spacing w:after="140" w:line="276"/>
      </w:pPr>
      <w:r>
        <w:rPr>
          <w:color w:val="16202C"/>
          <w:sz w:val="21"/>
          <w:szCs w:val="21"/>
        </w:rPr>
        <w:t xml:space="preserve">The decision is explicitly reversible: the schema avoids SQLite-specific types, and the data-access layer already goes through parameterised, prepared statements rather than inline SQL, so the migration path is real rather than aspirational.</w:t>
      </w:r>
    </w:p>
    <w:p>
      <w:r>
        <w:br w:type="page"/>
      </w:r>
    </w:p>
    <w:p>
      <w:pPr>
        <w:pStyle w:val="Heading1"/>
        <w:pBdr>
          <w:bottom w:val="single" w:color="DFE4EC" w:sz="8" w:space="6"/>
        </w:pBdr>
        <w:spacing w:after="160" w:before="380"/>
      </w:pPr>
      <w:r>
        <w:rPr>
          <w:b/>
          <w:bCs/>
          <w:color w:val="10203A"/>
          <w:sz w:val="30"/>
          <w:szCs w:val="30"/>
        </w:rPr>
        <w:t xml:space="preserve">4. The authorization model - the central design decision</w:t>
      </w:r>
    </w:p>
    <w:p>
      <w:pPr>
        <w:spacing w:after="140" w:line="276"/>
      </w:pPr>
      <w:r>
        <w:rPr>
          <w:color w:val="16202C"/>
          <w:sz w:val="21"/>
          <w:szCs w:val="21"/>
        </w:rPr>
        <w:t xml:space="preserve">This is the part of the system that most shaped everything else, so it gets its own section rather than a subsection.</w:t>
      </w:r>
    </w:p>
    <w:p>
      <w:pPr>
        <w:pStyle w:val="Heading2"/>
        <w:spacing w:after="110" w:before="260"/>
      </w:pPr>
      <w:r>
        <w:rPr>
          <w:b/>
          <w:bCs/>
          <w:color w:val="10203A"/>
          <w:sz w:val="24"/>
          <w:szCs w:val="24"/>
        </w:rPr>
        <w:t xml:space="preserve">4.1 The problem with "role-based access control" as usually built</w:t>
      </w:r>
    </w:p>
    <w:p>
      <w:pPr>
        <w:spacing w:after="140" w:line="276"/>
      </w:pPr>
      <w:r>
        <w:rPr>
          <w:color w:val="16202C"/>
          <w:sz w:val="21"/>
          <w:szCs w:val="21"/>
        </w:rPr>
        <w:t xml:space="preserve">A naive RBAC model attaches roles to users globally: "this user is a Faculty Mentor." That fails immediately here, because the same person can be a Reviewer at one institute and have no access at all to another - the "Priya Raman" case in the seed data, who reviews at KLE and RIT but nowhere else. Roles are not a property of a user; they are a property of a (user, scope) pair.</w:t>
      </w:r>
    </w:p>
    <w:p>
      <w:pPr>
        <w:pStyle w:val="Heading2"/>
        <w:spacing w:after="110" w:before="260"/>
      </w:pPr>
      <w:r>
        <w:rPr>
          <w:b/>
          <w:bCs/>
          <w:color w:val="10203A"/>
          <w:sz w:val="24"/>
          <w:szCs w:val="24"/>
        </w:rPr>
        <w:t xml:space="preserve">4.2 The model actually used: scoped grants</w:t>
      </w:r>
    </w:p>
    <w:p>
      <w:pPr>
        <w:spacing w:after="140" w:line="276"/>
      </w:pPr>
      <w:r>
        <w:rPr>
          <w:color w:val="16202C"/>
          <w:sz w:val="21"/>
          <w:szCs w:val="21"/>
        </w:rPr>
        <w:t xml:space="preserve">A user holds zero or more access grants. Each grant pairs a role with exactly one scope:</w:t>
      </w:r>
    </w:p>
    <w:tbl>
      <w:tblPr>
        <w:tblW w:type="dxa" w:w="9680"/>
        <w:tblBorders>
          <w:top w:val="single" w:color="DFE4EC" w:sz="4"/>
          <w:left w:val="single" w:color="DFE4EC" w:sz="4"/>
          <w:bottom w:val="single" w:color="DFE4EC" w:sz="4"/>
          <w:right w:val="single" w:color="DFE4EC" w:sz="4"/>
          <w:insideH w:val="single" w:color="DFE4EC" w:sz="4"/>
          <w:insideV w:val="single" w:color="DFE4EC" w:sz="4"/>
        </w:tblBorders>
      </w:tblPr>
      <w:tblGrid>
        <w:gridCol w:w="2400"/>
        <w:gridCol w:w="3200"/>
        <w:gridCol w:w="4080"/>
      </w:tblGrid>
      <w:tr>
        <w:trPr>
          <w:tblHeader/>
        </w:trPr>
        <w:tc>
          <w:tcPr>
            <w:tcW w:type="dxa" w:w="2400"/>
            <w:shd w:fill="E8EEFC" w:color="auto" w:val="clear"/>
            <w:tcMar>
              <w:top w:type="dxa" w:w="90"/>
              <w:left w:type="dxa" w:w="130"/>
              <w:bottom w:type="dxa" w:w="90"/>
              <w:right w:type="dxa" w:w="130"/>
            </w:tcMar>
          </w:tcPr>
          <w:p>
            <w:pPr>
              <w:spacing w:after="0" w:line="260"/>
            </w:pPr>
            <w:r>
              <w:rPr>
                <w:b/>
                <w:bCs/>
                <w:color w:val="10203A"/>
                <w:sz w:val="19"/>
                <w:szCs w:val="19"/>
              </w:rPr>
              <w:t xml:space="preserve">Scope type</w:t>
            </w:r>
          </w:p>
        </w:tc>
        <w:tc>
          <w:tcPr>
            <w:tcW w:type="dxa" w:w="3200"/>
            <w:shd w:fill="E8EEFC" w:color="auto" w:val="clear"/>
            <w:tcMar>
              <w:top w:type="dxa" w:w="90"/>
              <w:left w:type="dxa" w:w="130"/>
              <w:bottom w:type="dxa" w:w="90"/>
              <w:right w:type="dxa" w:w="130"/>
            </w:tcMar>
          </w:tcPr>
          <w:p>
            <w:pPr>
              <w:spacing w:after="0" w:line="260"/>
            </w:pPr>
            <w:r>
              <w:rPr>
                <w:b/>
                <w:bCs/>
                <w:color w:val="10203A"/>
                <w:sz w:val="19"/>
                <w:szCs w:val="19"/>
              </w:rPr>
              <w:t xml:space="preserve">Covers</w:t>
            </w:r>
          </w:p>
        </w:tc>
        <w:tc>
          <w:tcPr>
            <w:tcW w:type="dxa" w:w="4080"/>
            <w:shd w:fill="E8EEFC" w:color="auto" w:val="clear"/>
            <w:tcMar>
              <w:top w:type="dxa" w:w="90"/>
              <w:left w:type="dxa" w:w="130"/>
              <w:bottom w:type="dxa" w:w="90"/>
              <w:right w:type="dxa" w:w="130"/>
            </w:tcMar>
          </w:tcPr>
          <w:p>
            <w:pPr>
              <w:spacing w:after="0" w:line="260"/>
            </w:pPr>
            <w:r>
              <w:rPr>
                <w:b/>
                <w:bCs/>
                <w:color w:val="10203A"/>
                <w:sz w:val="19"/>
                <w:szCs w:val="19"/>
              </w:rPr>
              <w:t xml:space="preserve">Example</w:t>
            </w:r>
          </w:p>
        </w:tc>
      </w:tr>
      <w:tr>
        <w:tc>
          <w:tcPr>
            <w:tcW w:type="dxa" w:w="2400"/>
            <w:tcMar>
              <w:top w:type="dxa" w:w="90"/>
              <w:left w:type="dxa" w:w="130"/>
              <w:bottom w:type="dxa" w:w="90"/>
              <w:right w:type="dxa" w:w="130"/>
            </w:tcMar>
          </w:tcPr>
          <w:p>
            <w:pPr>
              <w:spacing w:after="0" w:line="260"/>
            </w:pPr>
            <w:r>
              <w:rPr>
                <w:color w:val="16202C"/>
                <w:sz w:val="19"/>
                <w:szCs w:val="19"/>
              </w:rPr>
              <w:t xml:space="preserve">PLATFORM</w:t>
            </w:r>
          </w:p>
        </w:tc>
        <w:tc>
          <w:tcPr>
            <w:tcW w:type="dxa" w:w="3200"/>
            <w:tcMar>
              <w:top w:type="dxa" w:w="90"/>
              <w:left w:type="dxa" w:w="130"/>
              <w:bottom w:type="dxa" w:w="90"/>
              <w:right w:type="dxa" w:w="130"/>
            </w:tcMar>
          </w:tcPr>
          <w:p>
            <w:pPr>
              <w:spacing w:after="0" w:line="260"/>
            </w:pPr>
            <w:r>
              <w:rPr>
                <w:color w:val="16202C"/>
                <w:sz w:val="19"/>
                <w:szCs w:val="19"/>
              </w:rPr>
              <w:t xml:space="preserve">Every institute, every record</w:t>
            </w:r>
          </w:p>
        </w:tc>
        <w:tc>
          <w:tcPr>
            <w:tcW w:type="dxa" w:w="4080"/>
            <w:tcMar>
              <w:top w:type="dxa" w:w="90"/>
              <w:left w:type="dxa" w:w="130"/>
              <w:bottom w:type="dxa" w:w="90"/>
              <w:right w:type="dxa" w:w="130"/>
            </w:tcMar>
          </w:tcPr>
          <w:p>
            <w:pPr>
              <w:spacing w:after="0" w:line="260"/>
            </w:pPr>
            <w:r>
              <w:rPr>
                <w:color w:val="16202C"/>
                <w:sz w:val="19"/>
                <w:szCs w:val="19"/>
              </w:rPr>
              <w:t xml:space="preserve">The one Platform Administrator account</w:t>
            </w:r>
          </w:p>
        </w:tc>
      </w:tr>
      <w:tr>
        <w:tc>
          <w:tcPr>
            <w:tcW w:type="dxa" w:w="2400"/>
            <w:tcMar>
              <w:top w:type="dxa" w:w="90"/>
              <w:left w:type="dxa" w:w="130"/>
              <w:bottom w:type="dxa" w:w="90"/>
              <w:right w:type="dxa" w:w="130"/>
            </w:tcMar>
          </w:tcPr>
          <w:p>
            <w:pPr>
              <w:spacing w:after="0" w:line="260"/>
            </w:pPr>
            <w:r>
              <w:rPr>
                <w:color w:val="16202C"/>
                <w:sz w:val="19"/>
                <w:szCs w:val="19"/>
              </w:rPr>
              <w:t xml:space="preserve">INSTITUTE</w:t>
            </w:r>
          </w:p>
        </w:tc>
        <w:tc>
          <w:tcPr>
            <w:tcW w:type="dxa" w:w="3200"/>
            <w:tcMar>
              <w:top w:type="dxa" w:w="90"/>
              <w:left w:type="dxa" w:w="130"/>
              <w:bottom w:type="dxa" w:w="90"/>
              <w:right w:type="dxa" w:w="130"/>
            </w:tcMar>
          </w:tcPr>
          <w:p>
            <w:pPr>
              <w:spacing w:after="0" w:line="260"/>
            </w:pPr>
            <w:r>
              <w:rPr>
                <w:color w:val="16202C"/>
                <w:sz w:val="19"/>
                <w:szCs w:val="19"/>
              </w:rPr>
              <w:t xml:space="preserve">One institute and everything inside it</w:t>
            </w:r>
          </w:p>
        </w:tc>
        <w:tc>
          <w:tcPr>
            <w:tcW w:type="dxa" w:w="4080"/>
            <w:tcMar>
              <w:top w:type="dxa" w:w="90"/>
              <w:left w:type="dxa" w:w="130"/>
              <w:bottom w:type="dxa" w:w="90"/>
              <w:right w:type="dxa" w:w="130"/>
            </w:tcMar>
          </w:tcPr>
          <w:p>
            <w:pPr>
              <w:spacing w:after="0" w:line="260"/>
            </w:pPr>
            <w:r>
              <w:rPr>
                <w:color w:val="16202C"/>
                <w:sz w:val="19"/>
                <w:szCs w:val="19"/>
              </w:rPr>
              <w:t xml:space="preserve">A Dean, scoped to KLE only</w:t>
            </w:r>
          </w:p>
        </w:tc>
      </w:tr>
      <w:tr>
        <w:tc>
          <w:tcPr>
            <w:tcW w:type="dxa" w:w="2400"/>
            <w:tcMar>
              <w:top w:type="dxa" w:w="90"/>
              <w:left w:type="dxa" w:w="130"/>
              <w:bottom w:type="dxa" w:w="90"/>
              <w:right w:type="dxa" w:w="130"/>
            </w:tcMar>
          </w:tcPr>
          <w:p>
            <w:pPr>
              <w:spacing w:after="0" w:line="260"/>
            </w:pPr>
            <w:r>
              <w:rPr>
                <w:color w:val="16202C"/>
                <w:sz w:val="19"/>
                <w:szCs w:val="19"/>
              </w:rPr>
              <w:t xml:space="preserve">DEPARTMENT</w:t>
            </w:r>
          </w:p>
        </w:tc>
        <w:tc>
          <w:tcPr>
            <w:tcW w:type="dxa" w:w="3200"/>
            <w:tcMar>
              <w:top w:type="dxa" w:w="90"/>
              <w:left w:type="dxa" w:w="130"/>
              <w:bottom w:type="dxa" w:w="90"/>
              <w:right w:type="dxa" w:w="130"/>
            </w:tcMar>
          </w:tcPr>
          <w:p>
            <w:pPr>
              <w:spacing w:after="0" w:line="260"/>
            </w:pPr>
            <w:r>
              <w:rPr>
                <w:color w:val="16202C"/>
                <w:sz w:val="19"/>
                <w:szCs w:val="19"/>
              </w:rPr>
              <w:t xml:space="preserve">One department and its projects</w:t>
            </w:r>
          </w:p>
        </w:tc>
        <w:tc>
          <w:tcPr>
            <w:tcW w:type="dxa" w:w="4080"/>
            <w:tcMar>
              <w:top w:type="dxa" w:w="90"/>
              <w:left w:type="dxa" w:w="130"/>
              <w:bottom w:type="dxa" w:w="90"/>
              <w:right w:type="dxa" w:w="130"/>
            </w:tcMar>
          </w:tcPr>
          <w:p>
            <w:pPr>
              <w:spacing w:after="0" w:line="260"/>
            </w:pPr>
            <w:r>
              <w:rPr>
                <w:color w:val="16202C"/>
                <w:sz w:val="19"/>
                <w:szCs w:val="19"/>
              </w:rPr>
              <w:t xml:space="preserve">A Department Head, scoped to KLE / CSE</w:t>
            </w:r>
          </w:p>
        </w:tc>
      </w:tr>
      <w:tr>
        <w:tc>
          <w:tcPr>
            <w:tcW w:type="dxa" w:w="2400"/>
            <w:tcMar>
              <w:top w:type="dxa" w:w="90"/>
              <w:left w:type="dxa" w:w="130"/>
              <w:bottom w:type="dxa" w:w="90"/>
              <w:right w:type="dxa" w:w="130"/>
            </w:tcMar>
          </w:tcPr>
          <w:p>
            <w:pPr>
              <w:spacing w:after="0" w:line="260"/>
            </w:pPr>
            <w:r>
              <w:rPr>
                <w:color w:val="16202C"/>
                <w:sz w:val="19"/>
                <w:szCs w:val="19"/>
              </w:rPr>
              <w:t xml:space="preserve">PROJECT</w:t>
            </w:r>
          </w:p>
        </w:tc>
        <w:tc>
          <w:tcPr>
            <w:tcW w:type="dxa" w:w="3200"/>
            <w:tcMar>
              <w:top w:type="dxa" w:w="90"/>
              <w:left w:type="dxa" w:w="130"/>
              <w:bottom w:type="dxa" w:w="90"/>
              <w:right w:type="dxa" w:w="130"/>
            </w:tcMar>
          </w:tcPr>
          <w:p>
            <w:pPr>
              <w:spacing w:after="0" w:line="260"/>
            </w:pPr>
            <w:r>
              <w:rPr>
                <w:color w:val="16202C"/>
                <w:sz w:val="19"/>
                <w:szCs w:val="19"/>
              </w:rPr>
              <w:t xml:space="preserve">A single project</w:t>
            </w:r>
          </w:p>
        </w:tc>
        <w:tc>
          <w:tcPr>
            <w:tcW w:type="dxa" w:w="4080"/>
            <w:tcMar>
              <w:top w:type="dxa" w:w="90"/>
              <w:left w:type="dxa" w:w="130"/>
              <w:bottom w:type="dxa" w:w="90"/>
              <w:right w:type="dxa" w:w="130"/>
            </w:tcMar>
          </w:tcPr>
          <w:p>
            <w:pPr>
              <w:spacing w:after="0" w:line="260"/>
            </w:pPr>
            <w:r>
              <w:rPr>
                <w:color w:val="16202C"/>
                <w:sz w:val="19"/>
                <w:szCs w:val="19"/>
              </w:rPr>
              <w:t xml:space="preserve">A student, scoped to their one team’s project</w:t>
            </w:r>
          </w:p>
        </w:tc>
      </w:tr>
    </w:tbl>
    <w:p>
      <w:pPr>
        <w:spacing w:after="140" w:line="276"/>
      </w:pPr>
      <w:r>
        <w:rPr>
          <w:color w:val="16202C"/>
          <w:sz w:val="21"/>
          <w:szCs w:val="21"/>
        </w:rPr>
        <w:t xml:space="preserve">A database CHECK constraint enforces that the scope columns actually match the declared scope type - a grant cannot claim DEPARTMENT scope while leaving the department column null. This closes off an entire class of "malformed grant silently becomes platform-wide" bugs at the schema level, not just in application code.</w:t>
      </w:r>
    </w:p>
    <w:p>
      <w:pPr>
        <w:pStyle w:val="Heading2"/>
        <w:spacing w:after="110" w:before="260"/>
      </w:pPr>
      <w:r>
        <w:rPr>
          <w:b/>
          <w:bCs/>
          <w:color w:val="10203A"/>
          <w:sz w:val="24"/>
          <w:szCs w:val="24"/>
        </w:rPr>
        <w:t xml:space="preserve">4.3 Turning grants into an enforceable boundary</w:t>
      </w:r>
    </w:p>
    <w:p>
      <w:pPr>
        <w:spacing w:after="140" w:line="276"/>
      </w:pPr>
      <w:r>
        <w:rPr>
          <w:color w:val="16202C"/>
          <w:sz w:val="21"/>
          <w:szCs w:val="21"/>
        </w:rPr>
        <w:t xml:space="preserve">The interesting engineering move is what happens next: a user’s grants are compiled, once per request, into a SQL WHERE fragment plus bound parameters. Every query that reads institutes, departments or projects composes this fragment. A user with no relevant grant does not get an empty result set from an unfiltered query - they get 1 = 0, deny-by-default, structurally.</w:t>
      </w:r>
    </w:p>
    <w:p>
      <w:pPr>
        <w:pBdr>
          <w:left w:val="single" w:color="1D4ED8" w:sz="12" w:space="8"/>
        </w:pBdr>
        <w:shd w:fill="F4F6FA" w:color="auto" w:val="clear"/>
        <w:spacing w:after="0" w:before="60" w:line="250"/>
        <w:ind w:left="220" w:right="220"/>
      </w:pPr>
      <w:r>
        <w:rPr>
          <w:rFonts w:ascii="Consolas" w:cs="Consolas" w:eastAsia="Consolas" w:hAnsi="Consolas"/>
          <w:color w:val="1B2B45"/>
          <w:sz w:val="18"/>
          <w:szCs w:val="18"/>
        </w:rPr>
        <w:t xml:space="preserve">projectScopeSql(scope) for an Institute Administrator at KLE  -&gt;</w:t>
      </w:r>
    </w:p>
    <w:p>
      <w:pPr>
        <w:pBdr>
          <w:left w:val="single" w:color="1D4ED8" w:sz="12" w:space="8"/>
        </w:pBdr>
        <w:shd w:fill="F4F6FA" w:color="auto" w:val="clear"/>
        <w:spacing w:after="0" w:before="0" w:line="250"/>
        <w:ind w:left="220" w:right="220"/>
      </w:pPr>
      <w:r>
        <w:rPr>
          <w:rFonts w:ascii="Consolas" w:cs="Consolas" w:eastAsia="Consolas" w:hAnsi="Consolas"/>
          <w:color w:val="1B2B45"/>
          <w:sz w:val="18"/>
          <w:szCs w:val="18"/>
        </w:rPr>
        <w:t xml:space="preserve">   "p.institute_id IN (?)"                         params: ['ins_kle']</w:t>
      </w:r>
    </w:p>
    <w:p>
      <w:pPr>
        <w:pBdr>
          <w:left w:val="single" w:color="1D4ED8" w:sz="12" w:space="8"/>
        </w:pBdr>
        <w:shd w:fill="F4F6FA" w:color="auto" w:val="clear"/>
        <w:spacing w:after="0" w:before="0" w:line="250"/>
        <w:ind w:left="220" w:right="220"/>
      </w:pPr>
      <w:r>
        <w:rPr>
          <w:rFonts w:ascii="Consolas" w:cs="Consolas" w:eastAsia="Consolas" w:hAnsi="Consolas"/>
          <w:color w:val="1B2B45"/>
          <w:sz w:val="18"/>
          <w:szCs w:val="18"/>
        </w:rPr>
        <w:t xml:space="preserve"> </w:t>
      </w:r>
    </w:p>
    <w:p>
      <w:pPr>
        <w:pBdr>
          <w:left w:val="single" w:color="1D4ED8" w:sz="12" w:space="8"/>
        </w:pBdr>
        <w:shd w:fill="F4F6FA" w:color="auto" w:val="clear"/>
        <w:spacing w:after="0" w:before="0" w:line="250"/>
        <w:ind w:left="220" w:right="220"/>
      </w:pPr>
      <w:r>
        <w:rPr>
          <w:rFonts w:ascii="Consolas" w:cs="Consolas" w:eastAsia="Consolas" w:hAnsi="Consolas"/>
          <w:color w:val="1B2B45"/>
          <w:sz w:val="18"/>
          <w:szCs w:val="18"/>
        </w:rPr>
        <w:t xml:space="preserve">projectScopeSql(scope) for a Student on one project           -&gt;</w:t>
      </w:r>
    </w:p>
    <w:p>
      <w:pPr>
        <w:pBdr>
          <w:left w:val="single" w:color="1D4ED8" w:sz="12" w:space="8"/>
        </w:pBdr>
        <w:shd w:fill="F4F6FA" w:color="auto" w:val="clear"/>
        <w:spacing w:after="0" w:before="0" w:line="250"/>
        <w:ind w:left="220" w:right="220"/>
      </w:pPr>
      <w:r>
        <w:rPr>
          <w:rFonts w:ascii="Consolas" w:cs="Consolas" w:eastAsia="Consolas" w:hAnsi="Consolas"/>
          <w:color w:val="1B2B45"/>
          <w:sz w:val="18"/>
          <w:szCs w:val="18"/>
        </w:rPr>
        <w:t xml:space="preserve">   "p.id IN (?)"                                    params: ['prj_04']</w:t>
      </w:r>
    </w:p>
    <w:p>
      <w:pPr>
        <w:pBdr>
          <w:left w:val="single" w:color="1D4ED8" w:sz="12" w:space="8"/>
        </w:pBdr>
        <w:shd w:fill="F4F6FA" w:color="auto" w:val="clear"/>
        <w:spacing w:after="0" w:before="0" w:line="250"/>
        <w:ind w:left="220" w:right="220"/>
      </w:pPr>
      <w:r>
        <w:rPr>
          <w:rFonts w:ascii="Consolas" w:cs="Consolas" w:eastAsia="Consolas" w:hAnsi="Consolas"/>
          <w:color w:val="1B2B45"/>
          <w:sz w:val="18"/>
          <w:szCs w:val="18"/>
        </w:rPr>
        <w:t xml:space="preserve"> </w:t>
      </w:r>
    </w:p>
    <w:p>
      <w:pPr>
        <w:pBdr>
          <w:left w:val="single" w:color="1D4ED8" w:sz="12" w:space="8"/>
        </w:pBdr>
        <w:shd w:fill="F4F6FA" w:color="auto" w:val="clear"/>
        <w:spacing w:after="0" w:before="0" w:line="250"/>
        <w:ind w:left="220" w:right="220"/>
      </w:pPr>
      <w:r>
        <w:rPr>
          <w:rFonts w:ascii="Consolas" w:cs="Consolas" w:eastAsia="Consolas" w:hAnsi="Consolas"/>
          <w:color w:val="1B2B45"/>
          <w:sz w:val="18"/>
          <w:szCs w:val="18"/>
        </w:rPr>
        <w:t xml:space="preserve">projectScopeSql(scope) for a user with no grants at all       -&gt;</w:t>
      </w:r>
    </w:p>
    <w:p>
      <w:pPr>
        <w:pBdr>
          <w:left w:val="single" w:color="1D4ED8" w:sz="12" w:space="8"/>
        </w:pBdr>
        <w:shd w:fill="F4F6FA" w:color="auto" w:val="clear"/>
        <w:spacing w:after="200" w:before="0" w:line="250"/>
        <w:ind w:left="220" w:right="220"/>
      </w:pPr>
      <w:r>
        <w:rPr>
          <w:rFonts w:ascii="Consolas" w:cs="Consolas" w:eastAsia="Consolas" w:hAnsi="Consolas"/>
          <w:color w:val="1B2B45"/>
          <w:sz w:val="18"/>
          <w:szCs w:val="18"/>
        </w:rPr>
        <w:t xml:space="preserve">   "1 = 0"                                          params: []</w:t>
      </w:r>
    </w:p>
    <w:p>
      <w:pPr>
        <w:spacing w:after="140" w:line="276"/>
      </w:pPr>
      <w:r>
        <w:rPr>
          <w:color w:val="16202C"/>
          <w:sz w:val="21"/>
          <w:szCs w:val="21"/>
        </w:rPr>
        <w:t xml:space="preserve">This is deliberately not "fetch everything, then filter in application code." That pattern is where isolation bugs live in most systems - a forgotten filter on one new endpoint leaks data. Here, filtering is structural to the query itself, so a missing filter produces an error at development time (an undefined scope predicate breaks obviously) rather than a silent leak in production.</w:t>
      </w:r>
    </w:p>
    <w:p>
      <w:pPr>
        <w:pStyle w:val="Heading2"/>
        <w:spacing w:after="110" w:before="260"/>
      </w:pPr>
      <w:r>
        <w:rPr>
          <w:b/>
          <w:bCs/>
          <w:color w:val="10203A"/>
          <w:sz w:val="24"/>
          <w:szCs w:val="24"/>
        </w:rPr>
        <w:t xml:space="preserve">4.4 Same 404 for "does not exist" and "not yours"</w:t>
      </w:r>
    </w:p>
    <w:p>
      <w:pPr>
        <w:spacing w:after="140" w:line="276"/>
      </w:pPr>
      <w:r>
        <w:rPr>
          <w:color w:val="16202C"/>
          <w:sz w:val="21"/>
          <w:szCs w:val="21"/>
        </w:rPr>
        <w:t xml:space="preserve">A response must never let a KLE dean learn that a project ID belongs to a real MMCOE project. The resource loaders run the scoped lookup first; only if that returns nothing do they check whether the record exists at all, purely to decide what to write to the audit log. Either way, the caller receives an identical 404. This was verified, not assumed - it is the mandatory test described in the requirements specification, automated as the first thing the test suite checks.</w:t>
      </w:r>
    </w:p>
    <w:tbl>
      <w:tblPr>
        <w:tblW w:type="dxa" w:w="10080"/>
        <w:tblBorders>
          <w:top w:val="single" w:color="DFE4EC" w:sz="4"/>
          <w:left w:val="single" w:color="1D4ED8" w:sz="18"/>
          <w:bottom w:val="single" w:color="DFE4EC" w:sz="4"/>
          <w:right w:val="single" w:color="DFE4EC" w:sz="4"/>
          <w:insideH w:val="none" w:color="auto" w:sz="0"/>
          <w:insideV w:val="none" w:color="auto" w:sz="0"/>
        </w:tblBorders>
      </w:tblPr>
      <w:tblGrid>
        <w:gridCol w:w="10080"/>
      </w:tblGrid>
      <w:tr>
        <w:tc>
          <w:tcPr>
            <w:tcW w:type="dxa" w:w="10080"/>
            <w:shd w:fill="FAFBFD" w:color="auto" w:val="clear"/>
            <w:tcMar>
              <w:top w:type="dxa" w:w="130"/>
              <w:left w:type="dxa" w:w="180"/>
              <w:bottom w:type="dxa" w:w="130"/>
              <w:right w:type="dxa" w:w="160"/>
            </w:tcMar>
          </w:tcPr>
          <w:p>
            <w:pPr>
              <w:spacing w:after="70"/>
            </w:pPr>
            <w:r>
              <w:rPr>
                <w:b/>
                <w:bCs/>
                <w:caps/>
                <w:color w:val="1D4ED8"/>
                <w:sz w:val="19"/>
                <w:szCs w:val="19"/>
              </w:rPr>
              <w:t xml:space="preserve">Design decision under scrutiny</w:t>
            </w:r>
          </w:p>
          <w:p>
            <w:pPr>
              <w:spacing w:after="0" w:line="260"/>
            </w:pPr>
            <w:r>
              <w:rPr>
                <w:color w:val="16202C"/>
                <w:sz w:val="20"/>
                <w:szCs w:val="20"/>
              </w:rPr>
              <w:t xml:space="preserve">Alternative considered: a 403 Forbidden for "exists but not yours", 404 for "does not exist". Rejected, because a 403 confirms existence and that confirmation is itself the information leak the isolation model exists to prevent. The identical-404 approach costs nothing functionally - the real reason is always in the audit log for anyone actually authorized to investigate.</w:t>
            </w:r>
          </w:p>
        </w:tc>
      </w:tr>
    </w:tbl>
    <w:p>
      <w:pPr>
        <w:pStyle w:val="Heading2"/>
        <w:spacing w:after="110" w:before="260"/>
      </w:pPr>
      <w:r>
        <w:rPr>
          <w:b/>
          <w:bCs/>
          <w:color w:val="10203A"/>
          <w:sz w:val="24"/>
          <w:szCs w:val="24"/>
        </w:rPr>
        <w:t xml:space="preserve">4.5 Notifications inherit the same boundary</w:t>
      </w:r>
    </w:p>
    <w:p>
      <w:pPr>
        <w:spacing w:after="140" w:line="276"/>
      </w:pPr>
      <w:r>
        <w:rPr>
          <w:color w:val="16202C"/>
          <w:sz w:val="21"/>
          <w:szCs w:val="21"/>
        </w:rPr>
        <w:t xml:space="preserve">A weaker design would compute "who to notify" with separate logic from "who can read this project" - and those two lists drifting apart is exactly how a notification leaks a Red-status detail to someone outside the institute. Instead, notification recipients are resolved with the same grant-matching query used for reads, so there is structurally one definition of "who is allowed to know about this project," not two that have to be kept in sync by discipline.</w:t>
      </w:r>
    </w:p>
    <w:p>
      <w:pPr>
        <w:pStyle w:val="Heading1"/>
        <w:pBdr>
          <w:bottom w:val="single" w:color="DFE4EC" w:sz="8" w:space="6"/>
        </w:pBdr>
        <w:spacing w:after="160" w:before="380"/>
      </w:pPr>
      <w:r>
        <w:rPr>
          <w:b/>
          <w:bCs/>
          <w:color w:val="10203A"/>
          <w:sz w:val="30"/>
          <w:szCs w:val="30"/>
        </w:rPr>
        <w:t xml:space="preserve">5. Data model reasoning</w:t>
      </w:r>
    </w:p>
    <w:p>
      <w:pPr>
        <w:pStyle w:val="Heading2"/>
        <w:spacing w:after="110" w:before="260"/>
      </w:pPr>
      <w:r>
        <w:rPr>
          <w:b/>
          <w:bCs/>
          <w:color w:val="10203A"/>
          <w:sz w:val="24"/>
          <w:szCs w:val="24"/>
        </w:rPr>
        <w:t xml:space="preserve">5.1 Why the hierarchy is encoded as foreign keys, not as a tree table</w:t>
      </w:r>
    </w:p>
    <w:p>
      <w:pPr>
        <w:spacing w:after="140" w:line="276"/>
      </w:pPr>
      <w:r>
        <w:rPr>
          <w:color w:val="16202C"/>
          <w:sz w:val="21"/>
          <w:szCs w:val="21"/>
        </w:rPr>
        <w:t xml:space="preserve">Institute -&gt; Department -&gt; Project is a fixed three-level hierarchy for this domain, not an arbitrary tree. Modelling it as three tables with foreign keys - rather than a generic parent_id self-reference - makes every scope-filtering query a plain indexed join instead of a recursive CTE, and makes the CHECK-constraint validation in section 4.2 possible in the first place, since a generic tree cannot express "this grant’s department must belong to this grant’s institute" as a constraint.</w:t>
      </w:r>
    </w:p>
    <w:p>
      <w:pPr>
        <w:pStyle w:val="Heading2"/>
        <w:spacing w:after="110" w:before="260"/>
      </w:pPr>
      <w:r>
        <w:rPr>
          <w:b/>
          <w:bCs/>
          <w:color w:val="10203A"/>
          <w:sz w:val="24"/>
          <w:szCs w:val="24"/>
        </w:rPr>
        <w:t xml:space="preserve">5.2 Immutability where the record’s value depends on it</w:t>
      </w:r>
    </w:p>
    <w:p>
      <w:pPr>
        <w:spacing w:after="140" w:line="276"/>
      </w:pPr>
      <w:r>
        <w:rPr>
          <w:color w:val="16202C"/>
          <w:sz w:val="21"/>
          <w:szCs w:val="21"/>
        </w:rPr>
        <w:t xml:space="preserve">Two tables - status_history and audit_log - are append-only, enforced by BEFORE UPDATE / BEFORE DELETE database triggers rather than by application-layer discipline. This was a deliberate escalation: an application-level "we just don’t call UPDATE on this table" convention is one refactor away from being violated by accident. A trigger makes the violation impossible rather than merely unlikely.</w:t>
      </w:r>
    </w:p>
    <w:tbl>
      <w:tblPr>
        <w:tblW w:type="dxa" w:w="9680"/>
        <w:tblBorders>
          <w:top w:val="single" w:color="DFE4EC" w:sz="4"/>
          <w:left w:val="single" w:color="DFE4EC" w:sz="4"/>
          <w:bottom w:val="single" w:color="DFE4EC" w:sz="4"/>
          <w:right w:val="single" w:color="DFE4EC" w:sz="4"/>
          <w:insideH w:val="single" w:color="DFE4EC" w:sz="4"/>
          <w:insideV w:val="single" w:color="DFE4EC" w:sz="4"/>
        </w:tblBorders>
      </w:tblPr>
      <w:tblGrid>
        <w:gridCol w:w="3200"/>
        <w:gridCol w:w="3080"/>
        <w:gridCol w:w="3400"/>
      </w:tblGrid>
      <w:tr>
        <w:trPr>
          <w:tblHeader/>
        </w:trPr>
        <w:tc>
          <w:tcPr>
            <w:tcW w:type="dxa" w:w="3200"/>
            <w:shd w:fill="E8EEFC" w:color="auto" w:val="clear"/>
            <w:tcMar>
              <w:top w:type="dxa" w:w="90"/>
              <w:left w:type="dxa" w:w="130"/>
              <w:bottom w:type="dxa" w:w="90"/>
              <w:right w:type="dxa" w:w="130"/>
            </w:tcMar>
          </w:tcPr>
          <w:p>
            <w:pPr>
              <w:spacing w:after="0" w:line="260"/>
            </w:pPr>
            <w:r>
              <w:rPr>
                <w:b/>
                <w:bCs/>
                <w:color w:val="10203A"/>
                <w:sz w:val="19"/>
                <w:szCs w:val="19"/>
              </w:rPr>
              <w:t xml:space="preserve">Table</w:t>
            </w:r>
          </w:p>
        </w:tc>
        <w:tc>
          <w:tcPr>
            <w:tcW w:type="dxa" w:w="3080"/>
            <w:shd w:fill="E8EEFC" w:color="auto" w:val="clear"/>
            <w:tcMar>
              <w:top w:type="dxa" w:w="90"/>
              <w:left w:type="dxa" w:w="130"/>
              <w:bottom w:type="dxa" w:w="90"/>
              <w:right w:type="dxa" w:w="130"/>
            </w:tcMar>
          </w:tcPr>
          <w:p>
            <w:pPr>
              <w:spacing w:after="0" w:line="260"/>
            </w:pPr>
            <w:r>
              <w:rPr>
                <w:b/>
                <w:bCs/>
                <w:color w:val="10203A"/>
                <w:sz w:val="19"/>
                <w:szCs w:val="19"/>
              </w:rPr>
              <w:t xml:space="preserve">What it is not allowed to do</w:t>
            </w:r>
          </w:p>
        </w:tc>
        <w:tc>
          <w:tcPr>
            <w:tcW w:type="dxa" w:w="3400"/>
            <w:shd w:fill="E8EEFC" w:color="auto" w:val="clear"/>
            <w:tcMar>
              <w:top w:type="dxa" w:w="90"/>
              <w:left w:type="dxa" w:w="130"/>
              <w:bottom w:type="dxa" w:w="90"/>
              <w:right w:type="dxa" w:w="130"/>
            </w:tcMar>
          </w:tcPr>
          <w:p>
            <w:pPr>
              <w:spacing w:after="0" w:line="260"/>
            </w:pPr>
            <w:r>
              <w:rPr>
                <w:b/>
                <w:bCs/>
                <w:color w:val="10203A"/>
                <w:sz w:val="19"/>
                <w:szCs w:val="19"/>
              </w:rPr>
              <w:t xml:space="preserve">Why</w:t>
            </w:r>
          </w:p>
        </w:tc>
      </w:tr>
      <w:tr>
        <w:tc>
          <w:tcPr>
            <w:tcW w:type="dxa" w:w="3200"/>
            <w:tcMar>
              <w:top w:type="dxa" w:w="90"/>
              <w:left w:type="dxa" w:w="130"/>
              <w:bottom w:type="dxa" w:w="90"/>
              <w:right w:type="dxa" w:w="130"/>
            </w:tcMar>
          </w:tcPr>
          <w:p>
            <w:pPr>
              <w:spacing w:after="0" w:line="260"/>
            </w:pPr>
            <w:r>
              <w:rPr>
                <w:color w:val="16202C"/>
                <w:sz w:val="19"/>
                <w:szCs w:val="19"/>
              </w:rPr>
              <w:t xml:space="preserve">status_history</w:t>
            </w:r>
          </w:p>
        </w:tc>
        <w:tc>
          <w:tcPr>
            <w:tcW w:type="dxa" w:w="3080"/>
            <w:tcMar>
              <w:top w:type="dxa" w:w="90"/>
              <w:left w:type="dxa" w:w="130"/>
              <w:bottom w:type="dxa" w:w="90"/>
              <w:right w:type="dxa" w:w="130"/>
            </w:tcMar>
          </w:tcPr>
          <w:p>
            <w:pPr>
              <w:spacing w:after="0" w:line="260"/>
            </w:pPr>
            <w:r>
              <w:rPr>
                <w:color w:val="16202C"/>
                <w:sz w:val="19"/>
                <w:szCs w:val="19"/>
              </w:rPr>
              <w:t xml:space="preserve">UPDATE ever; DELETE unless the parent project is already gone</w:t>
            </w:r>
          </w:p>
        </w:tc>
        <w:tc>
          <w:tcPr>
            <w:tcW w:type="dxa" w:w="3400"/>
            <w:tcMar>
              <w:top w:type="dxa" w:w="90"/>
              <w:left w:type="dxa" w:w="130"/>
              <w:bottom w:type="dxa" w:w="90"/>
              <w:right w:type="dxa" w:w="130"/>
            </w:tcMar>
          </w:tcPr>
          <w:p>
            <w:pPr>
              <w:spacing w:after="0" w:line="260"/>
            </w:pPr>
            <w:r>
              <w:rPr>
                <w:color w:val="16202C"/>
                <w:sz w:val="19"/>
                <w:szCs w:val="19"/>
              </w:rPr>
              <w:t xml:space="preserve">The whole point of the table is that it cannot be edited to look better in hindsight</w:t>
            </w:r>
          </w:p>
        </w:tc>
      </w:tr>
      <w:tr>
        <w:tc>
          <w:tcPr>
            <w:tcW w:type="dxa" w:w="3200"/>
            <w:tcMar>
              <w:top w:type="dxa" w:w="90"/>
              <w:left w:type="dxa" w:w="130"/>
              <w:bottom w:type="dxa" w:w="90"/>
              <w:right w:type="dxa" w:w="130"/>
            </w:tcMar>
          </w:tcPr>
          <w:p>
            <w:pPr>
              <w:spacing w:after="0" w:line="260"/>
            </w:pPr>
            <w:r>
              <w:rPr>
                <w:color w:val="16202C"/>
                <w:sz w:val="19"/>
                <w:szCs w:val="19"/>
              </w:rPr>
              <w:t xml:space="preserve">audit_log</w:t>
            </w:r>
          </w:p>
        </w:tc>
        <w:tc>
          <w:tcPr>
            <w:tcW w:type="dxa" w:w="3080"/>
            <w:tcMar>
              <w:top w:type="dxa" w:w="90"/>
              <w:left w:type="dxa" w:w="130"/>
              <w:bottom w:type="dxa" w:w="90"/>
              <w:right w:type="dxa" w:w="130"/>
            </w:tcMar>
          </w:tcPr>
          <w:p>
            <w:pPr>
              <w:spacing w:after="0" w:line="260"/>
            </w:pPr>
            <w:r>
              <w:rPr>
                <w:color w:val="16202C"/>
                <w:sz w:val="19"/>
                <w:szCs w:val="19"/>
              </w:rPr>
              <w:t xml:space="preserve">UPDATE or DELETE, ever</w:t>
            </w:r>
          </w:p>
        </w:tc>
        <w:tc>
          <w:tcPr>
            <w:tcW w:type="dxa" w:w="3400"/>
            <w:tcMar>
              <w:top w:type="dxa" w:w="90"/>
              <w:left w:type="dxa" w:w="130"/>
              <w:bottom w:type="dxa" w:w="90"/>
              <w:right w:type="dxa" w:w="130"/>
            </w:tcMar>
          </w:tcPr>
          <w:p>
            <w:pPr>
              <w:spacing w:after="0" w:line="260"/>
            </w:pPr>
            <w:r>
              <w:rPr>
                <w:color w:val="16202C"/>
                <w:sz w:val="19"/>
                <w:szCs w:val="19"/>
              </w:rPr>
              <w:t xml:space="preserve">An audit trail that can be edited is not an audit trail</w:t>
            </w:r>
          </w:p>
        </w:tc>
      </w:tr>
    </w:tbl>
    <w:p>
      <w:pPr>
        <w:pStyle w:val="Heading2"/>
        <w:spacing w:after="110" w:before="260"/>
      </w:pPr>
      <w:r>
        <w:rPr>
          <w:b/>
          <w:bCs/>
          <w:color w:val="10203A"/>
          <w:sz w:val="24"/>
          <w:szCs w:val="24"/>
        </w:rPr>
        <w:t xml:space="preserve">5.3 Soft-delete vs. hard-delete: a rule, not a case-by-case choice</w:t>
      </w:r>
    </w:p>
    <w:p>
      <w:pPr>
        <w:spacing w:after="140" w:line="276"/>
      </w:pPr>
      <w:r>
        <w:rPr>
          <w:color w:val="16202C"/>
          <w:sz w:val="21"/>
          <w:szCs w:val="21"/>
        </w:rPr>
        <w:t xml:space="preserve">CRUD without deletion is not real CRUD, but naive deletion is how audit trails and review history get silently destroyed. Rather than deciding this per-entity, one rule is applied consistently across institutes, departments and projects:</w:t>
      </w:r>
    </w:p>
    <w:p>
      <w:pPr>
        <w:pStyle w:val="ListParagraph"/>
        <w:numPr>
          <w:ilvl w:val="0"/>
          <w:numId w:val="2"/>
        </w:numPr>
        <w:spacing w:after="90" w:line="276"/>
      </w:pPr>
      <w:r>
        <w:rPr>
          <w:color w:val="16202C"/>
          <w:sz w:val="21"/>
          <w:szCs w:val="21"/>
        </w:rPr>
        <w:t xml:space="preserve">If the record has no dependents and no recorded history, delete it outright. A department with zero projects, a project with only its creation event in status_history and no reviews - genuinely nothing would be lost.</w:t>
      </w:r>
    </w:p>
    <w:p>
      <w:pPr>
        <w:pStyle w:val="ListParagraph"/>
        <w:numPr>
          <w:ilvl w:val="0"/>
          <w:numId w:val="2"/>
        </w:numPr>
        <w:spacing w:after="90" w:line="276"/>
      </w:pPr>
      <w:r>
        <w:rPr>
          <w:color w:val="16202C"/>
          <w:sz w:val="21"/>
          <w:szCs w:val="21"/>
        </w:rPr>
        <w:t xml:space="preserve">If deleting it would silently discard history, deactivate it instead (is_active = 0 / is_archived = 1) and say so in the response, with the count of what would have been lost.</w:t>
      </w:r>
    </w:p>
    <w:p>
      <w:pPr>
        <w:spacing w:after="140" w:line="276"/>
      </w:pPr>
      <w:r>
        <w:rPr>
          <w:color w:val="16202C"/>
          <w:sz w:val="21"/>
          <w:szCs w:val="21"/>
        </w:rPr>
        <w:t xml:space="preserve">The same reasoning governs child records inside a project: an OPEN challenge or corrective action can be deleted outright because nothing depended on it yet; once it is RESOLVED, COMPLETED or VERIFIED it becomes part of the reviewable record and can only be viewed, never removed. This is enforced server-side with an explicit 409 Conflict and an explanation, not left to the UI to prevent.</w:t>
      </w:r>
    </w:p>
    <w:tbl>
      <w:tblPr>
        <w:tblW w:type="dxa" w:w="10080"/>
        <w:tblBorders>
          <w:top w:val="single" w:color="DFE4EC" w:sz="4"/>
          <w:left w:val="single" w:color="8A5A00" w:sz="18"/>
          <w:bottom w:val="single" w:color="DFE4EC" w:sz="4"/>
          <w:right w:val="single" w:color="DFE4EC" w:sz="4"/>
          <w:insideH w:val="none" w:color="auto" w:sz="0"/>
          <w:insideV w:val="none" w:color="auto" w:sz="0"/>
        </w:tblBorders>
      </w:tblPr>
      <w:tblGrid>
        <w:gridCol w:w="10080"/>
      </w:tblGrid>
      <w:tr>
        <w:tc>
          <w:tcPr>
            <w:tcW w:type="dxa" w:w="10080"/>
            <w:shd w:fill="FAFBFD" w:color="auto" w:val="clear"/>
            <w:tcMar>
              <w:top w:type="dxa" w:w="130"/>
              <w:left w:type="dxa" w:w="180"/>
              <w:bottom w:type="dxa" w:w="130"/>
              <w:right w:type="dxa" w:w="160"/>
            </w:tcMar>
          </w:tcPr>
          <w:p>
            <w:pPr>
              <w:spacing w:after="70"/>
            </w:pPr>
            <w:r>
              <w:rPr>
                <w:b/>
                <w:bCs/>
                <w:caps/>
                <w:color w:val="8A5A00"/>
                <w:sz w:val="19"/>
                <w:szCs w:val="19"/>
              </w:rPr>
              <w:t xml:space="preserve">Design decision under scrutiny</w:t>
            </w:r>
          </w:p>
          <w:p>
            <w:pPr>
              <w:spacing w:after="0" w:line="260"/>
            </w:pPr>
            <w:r>
              <w:rPr>
                <w:color w:val="16202C"/>
                <w:sz w:val="20"/>
                <w:szCs w:val="20"/>
              </w:rPr>
              <w:t xml:space="preserve">Alternative considered: always soft-delete, never hard-delete, for consistency. Rejected as needless caution - a department created by mistake five minutes ago with nothing in it should just be gone; no one benefits from an is_active=0 row cluttering every admin list forever. The rule above gets the safety where it matters without the clutter where it does not.</w:t>
            </w:r>
          </w:p>
        </w:tc>
      </w:tr>
    </w:tbl>
    <w:p>
      <w:r>
        <w:br w:type="page"/>
      </w:r>
    </w:p>
    <w:p>
      <w:pPr>
        <w:pStyle w:val="Heading1"/>
        <w:pBdr>
          <w:bottom w:val="single" w:color="DFE4EC" w:sz="8" w:space="6"/>
        </w:pBdr>
        <w:spacing w:after="160" w:before="380"/>
      </w:pPr>
      <w:r>
        <w:rPr>
          <w:b/>
          <w:bCs/>
          <w:color w:val="10203A"/>
          <w:sz w:val="30"/>
          <w:szCs w:val="30"/>
        </w:rPr>
        <w:t xml:space="preserve">6. Key workflow: the Red-to-Green governance rule</w:t>
      </w:r>
    </w:p>
    <w:p>
      <w:pPr>
        <w:spacing w:after="140" w:line="276"/>
      </w:pPr>
      <w:r>
        <w:rPr>
          <w:color w:val="16202C"/>
          <w:sz w:val="21"/>
          <w:szCs w:val="21"/>
        </w:rPr>
        <w:t xml:space="preserve">This is the single most consequential business rule in the system, and it illustrates the design principle running through the whole portal: raising an alarm must be frictionless; making the alarm go away must not be.</w:t>
      </w:r>
    </w:p>
    <w:p>
      <w:pPr>
        <w:pStyle w:val="Heading2"/>
        <w:spacing w:after="110" w:before="260"/>
      </w:pPr>
      <w:r>
        <w:rPr>
          <w:b/>
          <w:bCs/>
          <w:color w:val="10203A"/>
          <w:sz w:val="24"/>
          <w:szCs w:val="24"/>
        </w:rPr>
        <w:t xml:space="preserve">6.1 The rule as implemented</w:t>
      </w:r>
    </w:p>
    <w:p>
      <w:pPr>
        <w:pBdr>
          <w:left w:val="single" w:color="1D4ED8" w:sz="12" w:space="8"/>
        </w:pBdr>
        <w:shd w:fill="F4F6FA" w:color="auto" w:val="clear"/>
        <w:spacing w:after="0" w:before="60" w:line="250"/>
        <w:ind w:left="220" w:right="220"/>
      </w:pPr>
      <w:r>
        <w:rPr>
          <w:rFonts w:ascii="Consolas" w:cs="Consolas" w:eastAsia="Consolas" w:hAnsi="Consolas"/>
          <w:color w:val="1B2B45"/>
          <w:sz w:val="18"/>
          <w:szCs w:val="18"/>
        </w:rPr>
        <w:t xml:space="preserve">RED -&gt; GREEN  is only permitted when ALL of the following hold:</w:t>
      </w:r>
    </w:p>
    <w:p>
      <w:pPr>
        <w:pBdr>
          <w:left w:val="single" w:color="1D4ED8" w:sz="12" w:space="8"/>
        </w:pBdr>
        <w:shd w:fill="F4F6FA" w:color="auto" w:val="clear"/>
        <w:spacing w:after="0" w:before="0" w:line="250"/>
        <w:ind w:left="220" w:right="220"/>
      </w:pPr>
      <w:r>
        <w:rPr>
          <w:rFonts w:ascii="Consolas" w:cs="Consolas" w:eastAsia="Consolas" w:hAnsi="Consolas"/>
          <w:color w:val="1B2B45"/>
          <w:sz w:val="18"/>
          <w:szCs w:val="18"/>
        </w:rPr>
        <w:t xml:space="preserve"> </w:t>
      </w:r>
    </w:p>
    <w:p>
      <w:pPr>
        <w:pBdr>
          <w:left w:val="single" w:color="1D4ED8" w:sz="12" w:space="8"/>
        </w:pBdr>
        <w:shd w:fill="F4F6FA" w:color="auto" w:val="clear"/>
        <w:spacing w:after="0" w:before="0" w:line="250"/>
        <w:ind w:left="220" w:right="220"/>
      </w:pPr>
      <w:r>
        <w:rPr>
          <w:rFonts w:ascii="Consolas" w:cs="Consolas" w:eastAsia="Consolas" w:hAnsi="Consolas"/>
          <w:color w:val="1B2B45"/>
          <w:sz w:val="18"/>
          <w:szCs w:val="18"/>
        </w:rPr>
        <w:t xml:space="preserve">  1. The actor holds status:approve for this specific project</w:t>
      </w:r>
    </w:p>
    <w:p>
      <w:pPr>
        <w:pBdr>
          <w:left w:val="single" w:color="1D4ED8" w:sz="12" w:space="8"/>
        </w:pBdr>
        <w:shd w:fill="F4F6FA" w:color="auto" w:val="clear"/>
        <w:spacing w:after="0" w:before="0" w:line="250"/>
        <w:ind w:left="220" w:right="220"/>
      </w:pPr>
      <w:r>
        <w:rPr>
          <w:rFonts w:ascii="Consolas" w:cs="Consolas" w:eastAsia="Consolas" w:hAnsi="Consolas"/>
          <w:color w:val="1B2B45"/>
          <w:sz w:val="18"/>
          <w:szCs w:val="18"/>
        </w:rPr>
        <w:t xml:space="preserve">     (a Faculty Mentor never holds this; a Reviewer, Department</w:t>
      </w:r>
    </w:p>
    <w:p>
      <w:pPr>
        <w:pBdr>
          <w:left w:val="single" w:color="1D4ED8" w:sz="12" w:space="8"/>
        </w:pBdr>
        <w:shd w:fill="F4F6FA" w:color="auto" w:val="clear"/>
        <w:spacing w:after="0" w:before="0" w:line="250"/>
        <w:ind w:left="220" w:right="220"/>
      </w:pPr>
      <w:r>
        <w:rPr>
          <w:rFonts w:ascii="Consolas" w:cs="Consolas" w:eastAsia="Consolas" w:hAnsi="Consolas"/>
          <w:color w:val="1B2B45"/>
          <w:sz w:val="18"/>
          <w:szCs w:val="18"/>
        </w:rPr>
        <w:t xml:space="preserve">      Head, Dean or Administrator does)</w:t>
      </w:r>
    </w:p>
    <w:p>
      <w:pPr>
        <w:pBdr>
          <w:left w:val="single" w:color="1D4ED8" w:sz="12" w:space="8"/>
        </w:pBdr>
        <w:shd w:fill="F4F6FA" w:color="auto" w:val="clear"/>
        <w:spacing w:after="0" w:before="0" w:line="250"/>
        <w:ind w:left="220" w:right="220"/>
      </w:pPr>
      <w:r>
        <w:rPr>
          <w:rFonts w:ascii="Consolas" w:cs="Consolas" w:eastAsia="Consolas" w:hAnsi="Consolas"/>
          <w:color w:val="1B2B45"/>
          <w:sz w:val="18"/>
          <w:szCs w:val="18"/>
        </w:rPr>
        <w:t xml:space="preserve">  2. Evidence of resolution is supplied (&gt;= 20 characters)</w:t>
      </w:r>
    </w:p>
    <w:p>
      <w:pPr>
        <w:pBdr>
          <w:left w:val="single" w:color="1D4ED8" w:sz="12" w:space="8"/>
        </w:pBdr>
        <w:shd w:fill="F4F6FA" w:color="auto" w:val="clear"/>
        <w:spacing w:after="0" w:before="0" w:line="250"/>
        <w:ind w:left="220" w:right="220"/>
      </w:pPr>
      <w:r>
        <w:rPr>
          <w:rFonts w:ascii="Consolas" w:cs="Consolas" w:eastAsia="Consolas" w:hAnsi="Consolas"/>
          <w:color w:val="1B2B45"/>
          <w:sz w:val="18"/>
          <w:szCs w:val="18"/>
        </w:rPr>
        <w:t xml:space="preserve">  3. Zero open HIGH or CRITICAL challenges remain on the project</w:t>
      </w:r>
    </w:p>
    <w:p>
      <w:pPr>
        <w:pBdr>
          <w:left w:val="single" w:color="1D4ED8" w:sz="12" w:space="8"/>
        </w:pBdr>
        <w:shd w:fill="F4F6FA" w:color="auto" w:val="clear"/>
        <w:spacing w:after="0" w:before="0" w:line="250"/>
        <w:ind w:left="220" w:right="220"/>
      </w:pPr>
      <w:r>
        <w:rPr>
          <w:rFonts w:ascii="Consolas" w:cs="Consolas" w:eastAsia="Consolas" w:hAnsi="Consolas"/>
          <w:color w:val="1B2B45"/>
          <w:sz w:val="18"/>
          <w:szCs w:val="18"/>
        </w:rPr>
        <w:t xml:space="preserve">  4. Zero corrective actions are past their due date</w:t>
      </w:r>
    </w:p>
    <w:p>
      <w:pPr>
        <w:pBdr>
          <w:left w:val="single" w:color="1D4ED8" w:sz="12" w:space="8"/>
        </w:pBdr>
        <w:shd w:fill="F4F6FA" w:color="auto" w:val="clear"/>
        <w:spacing w:after="0" w:before="0" w:line="250"/>
        <w:ind w:left="220" w:right="220"/>
      </w:pPr>
      <w:r>
        <w:rPr>
          <w:rFonts w:ascii="Consolas" w:cs="Consolas" w:eastAsia="Consolas" w:hAnsi="Consolas"/>
          <w:color w:val="1B2B45"/>
          <w:sz w:val="18"/>
          <w:szCs w:val="18"/>
        </w:rPr>
        <w:t xml:space="preserve"> </w:t>
      </w:r>
    </w:p>
    <w:p>
      <w:pPr>
        <w:pBdr>
          <w:left w:val="single" w:color="1D4ED8" w:sz="12" w:space="8"/>
        </w:pBdr>
        <w:shd w:fill="F4F6FA" w:color="auto" w:val="clear"/>
        <w:spacing w:after="200" w:before="0" w:line="250"/>
        <w:ind w:left="220" w:right="220"/>
      </w:pPr>
      <w:r>
        <w:rPr>
          <w:rFonts w:ascii="Consolas" w:cs="Consolas" w:eastAsia="Consolas" w:hAnsi="Consolas"/>
          <w:color w:val="1B2B45"/>
          <w:sz w:val="18"/>
          <w:szCs w:val="18"/>
        </w:rPr>
        <w:t xml:space="preserve">Any other transition requires only a stated rationale.</w:t>
      </w:r>
    </w:p>
    <w:p>
      <w:pPr>
        <w:spacing w:after="140" w:line="276"/>
      </w:pPr>
      <w:r>
        <w:rPr>
          <w:color w:val="16202C"/>
          <w:sz w:val="21"/>
          <w:szCs w:val="21"/>
        </w:rPr>
        <w:t xml:space="preserve">Moving into Red requires nothing but a 10-character rationale. This asymmetry is intentional: a mentor who spots trouble must never be slowed down by process at the moment they are trying to raise it. The friction is entirely on the exit side, where an unverified "it’s fine now" is exactly the failure mode the whole system exists to prevent.</w:t>
      </w:r>
    </w:p>
    <w:p>
      <w:pPr>
        <w:pStyle w:val="Heading2"/>
        <w:spacing w:after="110" w:before="260"/>
      </w:pPr>
      <w:r>
        <w:rPr>
          <w:b/>
          <w:bCs/>
          <w:color w:val="10203A"/>
          <w:sz w:val="24"/>
          <w:szCs w:val="24"/>
        </w:rPr>
        <w:t xml:space="preserve">6.2 Where this is enforced</w:t>
      </w:r>
    </w:p>
    <w:p>
      <w:pPr>
        <w:spacing w:after="140" w:line="276"/>
      </w:pPr>
      <w:r>
        <w:rPr>
          <w:color w:val="16202C"/>
          <w:sz w:val="21"/>
          <w:szCs w:val="21"/>
        </w:rPr>
        <w:t xml:space="preserve">In one function, evaluateStatusTransition, which returns a structured verdict rather than throwing - deliberately, so a refusal can be written to the audit log with its specific reason code (APPROVAL_REQUIRED, EVIDENCE_REQUIRED, OPEN_CRITICAL_ISSUES, OVERDUE_ACTIONS) before the caller ever sees the response. Refusing silently would make the audit trail useless for understanding why a project stayed Red longer than someone wanted.</w:t>
      </w:r>
    </w:p>
    <w:p>
      <w:pPr>
        <w:pStyle w:val="Heading2"/>
        <w:spacing w:after="110" w:before="260"/>
      </w:pPr>
      <w:r>
        <w:rPr>
          <w:b/>
          <w:bCs/>
          <w:color w:val="10203A"/>
          <w:sz w:val="24"/>
          <w:szCs w:val="24"/>
        </w:rPr>
        <w:t xml:space="preserve">6.3 Separation of duty inside the same rule</w:t>
      </w:r>
    </w:p>
    <w:p>
      <w:pPr>
        <w:spacing w:after="140" w:line="276"/>
      </w:pPr>
      <w:r>
        <w:rPr>
          <w:color w:val="16202C"/>
          <w:sz w:val="21"/>
          <w:szCs w:val="21"/>
        </w:rPr>
        <w:t xml:space="preserve">Closing a challenge or completing a corrective action already requires its own evidence. Verifying a corrective action additionally requires a distinct action:verify capability that a Faculty Mentor does not hold - so the person who did the work is structurally never the person who signs off that it was done. This mirrors the reviewer-approval requirement at the project level, applied one layer down.</w:t>
      </w:r>
    </w:p>
    <w:p>
      <w:pPr>
        <w:pStyle w:val="Heading2"/>
        <w:spacing w:after="110" w:before="260"/>
      </w:pPr>
      <w:r>
        <w:rPr>
          <w:b/>
          <w:bCs/>
          <w:color w:val="10203A"/>
          <w:sz w:val="24"/>
          <w:szCs w:val="24"/>
        </w:rPr>
        <w:t xml:space="preserve">6.4 The advisory recommendation, and why it does not decide anything</w:t>
      </w:r>
    </w:p>
    <w:p>
      <w:pPr>
        <w:spacing w:after="140" w:line="276"/>
      </w:pPr>
      <w:r>
        <w:rPr>
          <w:color w:val="16202C"/>
          <w:sz w:val="21"/>
          <w:szCs w:val="21"/>
        </w:rPr>
        <w:t xml:space="preserve">recommendStatus() computes a non-binding Green/Yellow/Red suggestion from missed critical milestones, open high-severity issues, overdue actions, KPIs below target and staleness, and returns it alongside the officially recorded status with an explicit agrees boolean. It is shown to the reviewer, never applied automatically. This is a considered position, not a missing feature: the requirements explicitly hold the human reviewer accountable for the recorded status, and an algorithm quietly auto-correcting a human-recorded status would undermine the accountability the whole audit trail exists to establish. The hook exists (Phase 4 of the delivery plan) for this to become more sophisticated once enough real review outcomes exist to validate it against.</w:t>
      </w:r>
    </w:p>
    <w:p>
      <w:pPr>
        <w:pStyle w:val="Heading1"/>
        <w:pBdr>
          <w:bottom w:val="single" w:color="DFE4EC" w:sz="8" w:space="6"/>
        </w:pBdr>
        <w:spacing w:after="160" w:before="380"/>
      </w:pPr>
      <w:r>
        <w:rPr>
          <w:b/>
          <w:bCs/>
          <w:color w:val="10203A"/>
          <w:sz w:val="30"/>
          <w:szCs w:val="30"/>
        </w:rPr>
        <w:t xml:space="preserve">7. Interface design principles</w:t>
      </w:r>
    </w:p>
    <w:p>
      <w:pPr>
        <w:spacing w:after="140" w:line="276"/>
      </w:pPr>
      <w:r>
        <w:rPr>
          <w:color w:val="16202C"/>
          <w:sz w:val="21"/>
          <w:szCs w:val="21"/>
        </w:rPr>
        <w:t xml:space="preserve">The interface is not a technical console; it is meant to be read by a department head who may open it once a week. Three principles governed every screen:</w:t>
      </w:r>
    </w:p>
    <w:tbl>
      <w:tblPr>
        <w:tblW w:type="dxa" w:w="9680"/>
        <w:tblBorders>
          <w:top w:val="single" w:color="DFE4EC" w:sz="4"/>
          <w:left w:val="single" w:color="DFE4EC" w:sz="4"/>
          <w:bottom w:val="single" w:color="DFE4EC" w:sz="4"/>
          <w:right w:val="single" w:color="DFE4EC" w:sz="4"/>
          <w:insideH w:val="single" w:color="DFE4EC" w:sz="4"/>
          <w:insideV w:val="single" w:color="DFE4EC" w:sz="4"/>
        </w:tblBorders>
      </w:tblPr>
      <w:tblGrid>
        <w:gridCol w:w="2700"/>
        <w:gridCol w:w="6980"/>
      </w:tblGrid>
      <w:tr>
        <w:trPr>
          <w:tblHeader/>
        </w:trPr>
        <w:tc>
          <w:tcPr>
            <w:tcW w:type="dxa" w:w="2700"/>
            <w:shd w:fill="E8EEFC" w:color="auto" w:val="clear"/>
            <w:tcMar>
              <w:top w:type="dxa" w:w="90"/>
              <w:left w:type="dxa" w:w="130"/>
              <w:bottom w:type="dxa" w:w="90"/>
              <w:right w:type="dxa" w:w="130"/>
            </w:tcMar>
          </w:tcPr>
          <w:p>
            <w:pPr>
              <w:spacing w:after="0" w:line="260"/>
            </w:pPr>
            <w:r>
              <w:rPr>
                <w:b/>
                <w:bCs/>
                <w:color w:val="10203A"/>
                <w:sz w:val="19"/>
                <w:szCs w:val="19"/>
              </w:rPr>
              <w:t xml:space="preserve">Principle</w:t>
            </w:r>
          </w:p>
        </w:tc>
        <w:tc>
          <w:tcPr>
            <w:tcW w:type="dxa" w:w="6980"/>
            <w:shd w:fill="E8EEFC" w:color="auto" w:val="clear"/>
            <w:tcMar>
              <w:top w:type="dxa" w:w="90"/>
              <w:left w:type="dxa" w:w="130"/>
              <w:bottom w:type="dxa" w:w="90"/>
              <w:right w:type="dxa" w:w="130"/>
            </w:tcMar>
          </w:tcPr>
          <w:p>
            <w:pPr>
              <w:spacing w:after="0" w:line="260"/>
            </w:pPr>
            <w:r>
              <w:rPr>
                <w:b/>
                <w:bCs/>
                <w:color w:val="10203A"/>
                <w:sz w:val="19"/>
                <w:szCs w:val="19"/>
              </w:rPr>
              <w:t xml:space="preserve">How it shows up</w:t>
            </w:r>
          </w:p>
        </w:tc>
      </w:tr>
      <w:tr>
        <w:tc>
          <w:tcPr>
            <w:tcW w:type="dxa" w:w="2700"/>
            <w:tcMar>
              <w:top w:type="dxa" w:w="90"/>
              <w:left w:type="dxa" w:w="130"/>
              <w:bottom w:type="dxa" w:w="90"/>
              <w:right w:type="dxa" w:w="130"/>
            </w:tcMar>
          </w:tcPr>
          <w:p>
            <w:pPr>
              <w:spacing w:after="0" w:line="260"/>
            </w:pPr>
            <w:r>
              <w:rPr>
                <w:color w:val="16202C"/>
                <w:sz w:val="19"/>
                <w:szCs w:val="19"/>
              </w:rPr>
              <w:t xml:space="preserve">Status is never colour alone</w:t>
            </w:r>
          </w:p>
        </w:tc>
        <w:tc>
          <w:tcPr>
            <w:tcW w:type="dxa" w:w="6980"/>
            <w:tcMar>
              <w:top w:type="dxa" w:w="90"/>
              <w:left w:type="dxa" w:w="130"/>
              <w:bottom w:type="dxa" w:w="90"/>
              <w:right w:type="dxa" w:w="130"/>
            </w:tcMar>
          </w:tcPr>
          <w:p>
            <w:pPr>
              <w:spacing w:after="0" w:line="260"/>
            </w:pPr>
            <w:r>
              <w:rPr>
                <w:color w:val="16202C"/>
                <w:sz w:val="19"/>
                <w:szCs w:val="19"/>
              </w:rPr>
              <w:t xml:space="preserve">Every RAG indicator carries four redundant signals at once: colour, a distinct shape (circle / square / triangle), a letter (G/Y/R), and the full text label. This holds in greyscale, in print, and for colour-blind users.</w:t>
            </w:r>
          </w:p>
        </w:tc>
      </w:tr>
      <w:tr>
        <w:tc>
          <w:tcPr>
            <w:tcW w:type="dxa" w:w="2700"/>
            <w:tcMar>
              <w:top w:type="dxa" w:w="90"/>
              <w:left w:type="dxa" w:w="130"/>
              <w:bottom w:type="dxa" w:w="90"/>
              <w:right w:type="dxa" w:w="130"/>
            </w:tcMar>
          </w:tcPr>
          <w:p>
            <w:pPr>
              <w:spacing w:after="0" w:line="260"/>
            </w:pPr>
            <w:r>
              <w:rPr>
                <w:color w:val="16202C"/>
                <w:sz w:val="19"/>
                <w:szCs w:val="19"/>
              </w:rPr>
              <w:t xml:space="preserve">A Red project explains itself first</w:t>
            </w:r>
          </w:p>
        </w:tc>
        <w:tc>
          <w:tcPr>
            <w:tcW w:type="dxa" w:w="6980"/>
            <w:tcMar>
              <w:top w:type="dxa" w:w="90"/>
              <w:left w:type="dxa" w:w="130"/>
              <w:bottom w:type="dxa" w:w="90"/>
              <w:right w:type="dxa" w:w="130"/>
            </w:tcMar>
          </w:tcPr>
          <w:p>
            <w:pPr>
              <w:spacing w:after="0" w:line="260"/>
            </w:pPr>
            <w:r>
              <w:rPr>
                <w:color w:val="16202C"/>
                <w:sz w:val="19"/>
                <w:szCs w:val="19"/>
              </w:rPr>
              <w:t xml:space="preserve">The project page leads with why it is Red, since when, and what is blocking recovery, before any other detail - the reviewer’s first question is answered before they ask it.</w:t>
            </w:r>
          </w:p>
        </w:tc>
      </w:tr>
      <w:tr>
        <w:tc>
          <w:tcPr>
            <w:tcW w:type="dxa" w:w="2700"/>
            <w:tcMar>
              <w:top w:type="dxa" w:w="90"/>
              <w:left w:type="dxa" w:w="130"/>
              <w:bottom w:type="dxa" w:w="90"/>
              <w:right w:type="dxa" w:w="130"/>
            </w:tcMar>
          </w:tcPr>
          <w:p>
            <w:pPr>
              <w:spacing w:after="0" w:line="260"/>
            </w:pPr>
            <w:r>
              <w:rPr>
                <w:color w:val="16202C"/>
                <w:sz w:val="19"/>
                <w:szCs w:val="19"/>
              </w:rPr>
              <w:t xml:space="preserve">Nothing readable below 15px</w:t>
            </w:r>
          </w:p>
        </w:tc>
        <w:tc>
          <w:tcPr>
            <w:tcW w:type="dxa" w:w="6980"/>
            <w:tcMar>
              <w:top w:type="dxa" w:w="90"/>
              <w:left w:type="dxa" w:w="130"/>
              <w:bottom w:type="dxa" w:w="90"/>
              <w:right w:type="dxa" w:w="130"/>
            </w:tcMar>
          </w:tcPr>
          <w:p>
            <w:pPr>
              <w:spacing w:after="0" w:line="260"/>
            </w:pPr>
            <w:r>
              <w:rPr>
                <w:color w:val="16202C"/>
                <w:sz w:val="19"/>
                <w:szCs w:val="19"/>
              </w:rPr>
              <w:t xml:space="preserve">Type is a fluid clamp() scale rather than a fixed size, so it adapts to the viewport instead of the interface being uniformly shrunk on a laptop or projector. Every interactive control is at least 44px on its smallest axis.</w:t>
            </w:r>
          </w:p>
        </w:tc>
      </w:tr>
    </w:tbl>
    <w:p>
      <w:pPr>
        <w:spacing w:after="140" w:line="276"/>
      </w:pPr>
      <w:r>
        <w:rPr>
          <w:color w:val="16202C"/>
          <w:sz w:val="21"/>
          <w:szCs w:val="21"/>
        </w:rPr>
        <w:t xml:space="preserve">A concrete instance of the third principle: an early version had a "use demo account" button rendered at 36px height with 16px font - technically legible, but below the 44px minimum comfortable tap target. It was rebuilt as a full-width row per account, verified computationally (no control under 44px, no text under 15px, across 1280 / 768 / 375px viewports and at a 24px root font size) rather than by eye, because "looks fine to me" does not scale to a projector in a review meeting.</w:t>
      </w:r>
    </w:p>
    <w:p>
      <w:pPr>
        <w:pStyle w:val="Heading1"/>
        <w:pBdr>
          <w:bottom w:val="single" w:color="DFE4EC" w:sz="8" w:space="6"/>
        </w:pBdr>
        <w:spacing w:after="160" w:before="380"/>
      </w:pPr>
      <w:r>
        <w:rPr>
          <w:b/>
          <w:bCs/>
          <w:color w:val="10203A"/>
          <w:sz w:val="30"/>
          <w:szCs w:val="30"/>
        </w:rPr>
        <w:t xml:space="preserve">8. Trade-offs made, and what would change them</w:t>
      </w:r>
    </w:p>
    <w:tbl>
      <w:tblPr>
        <w:tblW w:type="dxa" w:w="9080"/>
        <w:tblBorders>
          <w:top w:val="single" w:color="DFE4EC" w:sz="4"/>
          <w:left w:val="single" w:color="DFE4EC" w:sz="4"/>
          <w:bottom w:val="single" w:color="DFE4EC" w:sz="4"/>
          <w:right w:val="single" w:color="DFE4EC" w:sz="4"/>
          <w:insideH w:val="single" w:color="DFE4EC" w:sz="4"/>
          <w:insideV w:val="single" w:color="DFE4EC" w:sz="4"/>
        </w:tblBorders>
      </w:tblPr>
      <w:tblGrid>
        <w:gridCol w:w="2900"/>
        <w:gridCol w:w="3400"/>
        <w:gridCol w:w="2780"/>
      </w:tblGrid>
      <w:tr>
        <w:trPr>
          <w:tblHeader/>
        </w:trPr>
        <w:tc>
          <w:tcPr>
            <w:tcW w:type="dxa" w:w="2900"/>
            <w:shd w:fill="E8EEFC" w:color="auto" w:val="clear"/>
            <w:tcMar>
              <w:top w:type="dxa" w:w="90"/>
              <w:left w:type="dxa" w:w="130"/>
              <w:bottom w:type="dxa" w:w="90"/>
              <w:right w:type="dxa" w:w="130"/>
            </w:tcMar>
          </w:tcPr>
          <w:p>
            <w:pPr>
              <w:spacing w:after="0" w:line="260"/>
            </w:pPr>
            <w:r>
              <w:rPr>
                <w:b/>
                <w:bCs/>
                <w:color w:val="10203A"/>
                <w:sz w:val="19"/>
                <w:szCs w:val="19"/>
              </w:rPr>
              <w:t xml:space="preserve">Decision</w:t>
            </w:r>
          </w:p>
        </w:tc>
        <w:tc>
          <w:tcPr>
            <w:tcW w:type="dxa" w:w="3400"/>
            <w:shd w:fill="E8EEFC" w:color="auto" w:val="clear"/>
            <w:tcMar>
              <w:top w:type="dxa" w:w="90"/>
              <w:left w:type="dxa" w:w="130"/>
              <w:bottom w:type="dxa" w:w="90"/>
              <w:right w:type="dxa" w:w="130"/>
            </w:tcMar>
          </w:tcPr>
          <w:p>
            <w:pPr>
              <w:spacing w:after="0" w:line="260"/>
            </w:pPr>
            <w:r>
              <w:rPr>
                <w:b/>
                <w:bCs/>
                <w:color w:val="10203A"/>
                <w:sz w:val="19"/>
                <w:szCs w:val="19"/>
              </w:rPr>
              <w:t xml:space="preserve">Trade-off accepted</w:t>
            </w:r>
          </w:p>
        </w:tc>
        <w:tc>
          <w:tcPr>
            <w:tcW w:type="dxa" w:w="2780"/>
            <w:shd w:fill="E8EEFC" w:color="auto" w:val="clear"/>
            <w:tcMar>
              <w:top w:type="dxa" w:w="90"/>
              <w:left w:type="dxa" w:w="130"/>
              <w:bottom w:type="dxa" w:w="90"/>
              <w:right w:type="dxa" w:w="130"/>
            </w:tcMar>
          </w:tcPr>
          <w:p>
            <w:pPr>
              <w:spacing w:after="0" w:line="260"/>
            </w:pPr>
            <w:r>
              <w:rPr>
                <w:b/>
                <w:bCs/>
                <w:color w:val="10203A"/>
                <w:sz w:val="19"/>
                <w:szCs w:val="19"/>
              </w:rPr>
              <w:t xml:space="preserve">Revisit when…</w:t>
            </w:r>
          </w:p>
        </w:tc>
      </w:tr>
      <w:tr>
        <w:tc>
          <w:tcPr>
            <w:tcW w:type="dxa" w:w="2900"/>
            <w:tcMar>
              <w:top w:type="dxa" w:w="90"/>
              <w:left w:type="dxa" w:w="130"/>
              <w:bottom w:type="dxa" w:w="90"/>
              <w:right w:type="dxa" w:w="130"/>
            </w:tcMar>
          </w:tcPr>
          <w:p>
            <w:pPr>
              <w:spacing w:after="0" w:line="260"/>
            </w:pPr>
            <w:r>
              <w:rPr>
                <w:color w:val="16202C"/>
                <w:sz w:val="19"/>
                <w:szCs w:val="19"/>
              </w:rPr>
              <w:t xml:space="preserve">SQLite as the operational store</w:t>
            </w:r>
          </w:p>
        </w:tc>
        <w:tc>
          <w:tcPr>
            <w:tcW w:type="dxa" w:w="3400"/>
            <w:tcMar>
              <w:top w:type="dxa" w:w="90"/>
              <w:left w:type="dxa" w:w="130"/>
              <w:bottom w:type="dxa" w:w="90"/>
              <w:right w:type="dxa" w:w="130"/>
            </w:tcMar>
          </w:tcPr>
          <w:p>
            <w:pPr>
              <w:spacing w:after="0" w:line="260"/>
            </w:pPr>
            <w:r>
              <w:rPr>
                <w:color w:val="16202C"/>
                <w:sz w:val="19"/>
                <w:szCs w:val="19"/>
              </w:rPr>
              <w:t xml:space="preserve">No multi-node write concurrency</w:t>
            </w:r>
          </w:p>
        </w:tc>
        <w:tc>
          <w:tcPr>
            <w:tcW w:type="dxa" w:w="2780"/>
            <w:tcMar>
              <w:top w:type="dxa" w:w="90"/>
              <w:left w:type="dxa" w:w="130"/>
              <w:bottom w:type="dxa" w:w="90"/>
              <w:right w:type="dxa" w:w="130"/>
            </w:tcMar>
          </w:tcPr>
          <w:p>
            <w:pPr>
              <w:spacing w:after="0" w:line="260"/>
            </w:pPr>
            <w:r>
              <w:rPr>
                <w:color w:val="16202C"/>
                <w:sz w:val="19"/>
                <w:szCs w:val="19"/>
              </w:rPr>
              <w:t xml:space="preserve">Concurrent write load across institutes actually materialises - not before</w:t>
            </w:r>
          </w:p>
        </w:tc>
      </w:tr>
      <w:tr>
        <w:tc>
          <w:tcPr>
            <w:tcW w:type="dxa" w:w="2900"/>
            <w:tcMar>
              <w:top w:type="dxa" w:w="90"/>
              <w:left w:type="dxa" w:w="130"/>
              <w:bottom w:type="dxa" w:w="90"/>
              <w:right w:type="dxa" w:w="130"/>
            </w:tcMar>
          </w:tcPr>
          <w:p>
            <w:pPr>
              <w:spacing w:after="0" w:line="260"/>
            </w:pPr>
            <w:r>
              <w:rPr>
                <w:color w:val="16202C"/>
                <w:sz w:val="19"/>
                <w:szCs w:val="19"/>
              </w:rPr>
              <w:t xml:space="preserve">Stateless JWT session, no server-side session store</w:t>
            </w:r>
          </w:p>
        </w:tc>
        <w:tc>
          <w:tcPr>
            <w:tcW w:type="dxa" w:w="3400"/>
            <w:tcMar>
              <w:top w:type="dxa" w:w="90"/>
              <w:left w:type="dxa" w:w="130"/>
              <w:bottom w:type="dxa" w:w="90"/>
              <w:right w:type="dxa" w:w="130"/>
            </w:tcMar>
          </w:tcPr>
          <w:p>
            <w:pPr>
              <w:spacing w:after="0" w:line="260"/>
            </w:pPr>
            <w:r>
              <w:rPr>
                <w:color w:val="16202C"/>
                <w:sz w:val="19"/>
                <w:szCs w:val="19"/>
              </w:rPr>
              <w:t xml:space="preserve">Cannot forcibly kill one specific browser tab’s session without bumping the whole account’s token_version</w:t>
            </w:r>
          </w:p>
        </w:tc>
        <w:tc>
          <w:tcPr>
            <w:tcW w:type="dxa" w:w="2780"/>
            <w:tcMar>
              <w:top w:type="dxa" w:w="90"/>
              <w:left w:type="dxa" w:w="130"/>
              <w:bottom w:type="dxa" w:w="90"/>
              <w:right w:type="dxa" w:w="130"/>
            </w:tcMar>
          </w:tcPr>
          <w:p>
            <w:pPr>
              <w:spacing w:after="0" w:line="260"/>
            </w:pPr>
            <w:r>
              <w:rPr>
                <w:color w:val="16202C"/>
                <w:sz w:val="19"/>
                <w:szCs w:val="19"/>
              </w:rPr>
              <w:t xml:space="preserve">A "sign out this device only" requirement appears</w:t>
            </w:r>
          </w:p>
        </w:tc>
      </w:tr>
      <w:tr>
        <w:tc>
          <w:tcPr>
            <w:tcW w:type="dxa" w:w="2900"/>
            <w:tcMar>
              <w:top w:type="dxa" w:w="90"/>
              <w:left w:type="dxa" w:w="130"/>
              <w:bottom w:type="dxa" w:w="90"/>
              <w:right w:type="dxa" w:w="130"/>
            </w:tcMar>
          </w:tcPr>
          <w:p>
            <w:pPr>
              <w:spacing w:after="0" w:line="260"/>
            </w:pPr>
            <w:r>
              <w:rPr>
                <w:color w:val="16202C"/>
                <w:sz w:val="19"/>
                <w:szCs w:val="19"/>
              </w:rPr>
              <w:t xml:space="preserve">In-app notifications only, email via console transport by default</w:t>
            </w:r>
          </w:p>
        </w:tc>
        <w:tc>
          <w:tcPr>
            <w:tcW w:type="dxa" w:w="3400"/>
            <w:tcMar>
              <w:top w:type="dxa" w:w="90"/>
              <w:left w:type="dxa" w:w="130"/>
              <w:bottom w:type="dxa" w:w="90"/>
              <w:right w:type="dxa" w:w="130"/>
            </w:tcMar>
          </w:tcPr>
          <w:p>
            <w:pPr>
              <w:spacing w:after="0" w:line="260"/>
            </w:pPr>
            <w:r>
              <w:rPr>
                <w:color w:val="16202C"/>
                <w:sz w:val="19"/>
                <w:szCs w:val="19"/>
              </w:rPr>
              <w:t xml:space="preserve">Nothing is actually emailed until SMTP is configured</w:t>
            </w:r>
          </w:p>
        </w:tc>
        <w:tc>
          <w:tcPr>
            <w:tcW w:type="dxa" w:w="2780"/>
            <w:tcMar>
              <w:top w:type="dxa" w:w="90"/>
              <w:left w:type="dxa" w:w="130"/>
              <w:bottom w:type="dxa" w:w="90"/>
              <w:right w:type="dxa" w:w="130"/>
            </w:tcMar>
          </w:tcPr>
          <w:p>
            <w:pPr>
              <w:spacing w:after="0" w:line="260"/>
            </w:pPr>
            <w:r>
              <w:rPr>
                <w:color w:val="16202C"/>
                <w:sz w:val="19"/>
                <w:szCs w:val="19"/>
              </w:rPr>
              <w:t xml:space="preserve">Pilot moves to production and real delivery is switched on - the code path already exists</w:t>
            </w:r>
          </w:p>
        </w:tc>
      </w:tr>
      <w:tr>
        <w:tc>
          <w:tcPr>
            <w:tcW w:type="dxa" w:w="2900"/>
            <w:tcMar>
              <w:top w:type="dxa" w:w="90"/>
              <w:left w:type="dxa" w:w="130"/>
              <w:bottom w:type="dxa" w:w="90"/>
              <w:right w:type="dxa" w:w="130"/>
            </w:tcMar>
          </w:tcPr>
          <w:p>
            <w:pPr>
              <w:spacing w:after="0" w:line="260"/>
            </w:pPr>
            <w:r>
              <w:rPr>
                <w:color w:val="16202C"/>
                <w:sz w:val="19"/>
                <w:szCs w:val="19"/>
              </w:rPr>
              <w:t xml:space="preserve">Advisory-only RAG recommendation, not automated</w:t>
            </w:r>
          </w:p>
        </w:tc>
        <w:tc>
          <w:tcPr>
            <w:tcW w:type="dxa" w:w="3400"/>
            <w:tcMar>
              <w:top w:type="dxa" w:w="90"/>
              <w:left w:type="dxa" w:w="130"/>
              <w:bottom w:type="dxa" w:w="90"/>
              <w:right w:type="dxa" w:w="130"/>
            </w:tcMar>
          </w:tcPr>
          <w:p>
            <w:pPr>
              <w:spacing w:after="0" w:line="260"/>
            </w:pPr>
            <w:r>
              <w:rPr>
                <w:color w:val="16202C"/>
                <w:sz w:val="19"/>
                <w:szCs w:val="19"/>
              </w:rPr>
              <w:t xml:space="preserve">A reviewer could ignore a correct machine signal</w:t>
            </w:r>
          </w:p>
        </w:tc>
        <w:tc>
          <w:tcPr>
            <w:tcW w:type="dxa" w:w="2780"/>
            <w:tcMar>
              <w:top w:type="dxa" w:w="90"/>
              <w:left w:type="dxa" w:w="130"/>
              <w:bottom w:type="dxa" w:w="90"/>
              <w:right w:type="dxa" w:w="130"/>
            </w:tcMar>
          </w:tcPr>
          <w:p>
            <w:pPr>
              <w:spacing w:after="0" w:line="260"/>
            </w:pPr>
            <w:r>
              <w:rPr>
                <w:color w:val="16202C"/>
                <w:sz w:val="19"/>
                <w:szCs w:val="19"/>
              </w:rPr>
              <w:t xml:space="preserve">Enough historical review data exists to validate a model before trusting its output over a human’s</w:t>
            </w:r>
          </w:p>
        </w:tc>
      </w:tr>
      <w:tr>
        <w:tc>
          <w:tcPr>
            <w:tcW w:type="dxa" w:w="2900"/>
            <w:tcMar>
              <w:top w:type="dxa" w:w="90"/>
              <w:left w:type="dxa" w:w="130"/>
              <w:bottom w:type="dxa" w:w="90"/>
              <w:right w:type="dxa" w:w="130"/>
            </w:tcMar>
          </w:tcPr>
          <w:p>
            <w:pPr>
              <w:spacing w:after="0" w:line="260"/>
            </w:pPr>
            <w:r>
              <w:rPr>
                <w:color w:val="16202C"/>
                <w:sz w:val="19"/>
                <w:szCs w:val="19"/>
              </w:rPr>
              <w:t xml:space="preserve">Repository/document storage as links only</w:t>
            </w:r>
          </w:p>
        </w:tc>
        <w:tc>
          <w:tcPr>
            <w:tcW w:type="dxa" w:w="3400"/>
            <w:tcMar>
              <w:top w:type="dxa" w:w="90"/>
              <w:left w:type="dxa" w:w="130"/>
              <w:bottom w:type="dxa" w:w="90"/>
              <w:right w:type="dxa" w:w="130"/>
            </w:tcMar>
          </w:tcPr>
          <w:p>
            <w:pPr>
              <w:spacing w:after="0" w:line="260"/>
            </w:pPr>
            <w:r>
              <w:rPr>
                <w:color w:val="16202C"/>
                <w:sz w:val="19"/>
                <w:szCs w:val="19"/>
              </w:rPr>
              <w:t xml:space="preserve">The portal has no control over artefact availability or access</w:t>
            </w:r>
          </w:p>
        </w:tc>
        <w:tc>
          <w:tcPr>
            <w:tcW w:type="dxa" w:w="2780"/>
            <w:tcMar>
              <w:top w:type="dxa" w:w="90"/>
              <w:left w:type="dxa" w:w="130"/>
              <w:bottom w:type="dxa" w:w="90"/>
              <w:right w:type="dxa" w:w="130"/>
            </w:tcMar>
          </w:tcPr>
          <w:p>
            <w:pPr>
              <w:spacing w:after="0" w:line="260"/>
            </w:pPr>
            <w:r>
              <w:rPr>
                <w:color w:val="16202C"/>
                <w:sz w:val="19"/>
                <w:szCs w:val="19"/>
              </w:rPr>
              <w:t xml:space="preserve">Object storage integration becomes a stated Phase 3 priority, per the delivery plan</w:t>
            </w:r>
          </w:p>
        </w:tc>
      </w:tr>
    </w:tbl>
    <w:p>
      <w:pPr>
        <w:pStyle w:val="Heading1"/>
        <w:pBdr>
          <w:bottom w:val="single" w:color="DFE4EC" w:sz="8" w:space="6"/>
        </w:pBdr>
        <w:spacing w:after="160" w:before="380"/>
      </w:pPr>
      <w:r>
        <w:rPr>
          <w:b/>
          <w:bCs/>
          <w:color w:val="10203A"/>
          <w:sz w:val="30"/>
          <w:szCs w:val="30"/>
        </w:rPr>
        <w:t xml:space="preserve">9. What this design deliberately protects against</w:t>
      </w:r>
    </w:p>
    <w:p>
      <w:pPr>
        <w:pStyle w:val="ListParagraph"/>
        <w:numPr>
          <w:ilvl w:val="0"/>
          <w:numId w:val="2"/>
        </w:numPr>
        <w:spacing w:after="90" w:line="276"/>
      </w:pPr>
      <w:r>
        <w:rPr>
          <w:color w:val="16202C"/>
          <w:sz w:val="21"/>
          <w:szCs w:val="21"/>
        </w:rPr>
        <w:t xml:space="preserve">A cross-institute data leak through URL or parameter manipulation - structurally prevented, not just tested against.</w:t>
      </w:r>
    </w:p>
    <w:p>
      <w:pPr>
        <w:pStyle w:val="ListParagraph"/>
        <w:numPr>
          <w:ilvl w:val="0"/>
          <w:numId w:val="2"/>
        </w:numPr>
        <w:spacing w:after="90" w:line="276"/>
      </w:pPr>
      <w:r>
        <w:rPr>
          <w:color w:val="16202C"/>
          <w:sz w:val="21"/>
          <w:szCs w:val="21"/>
        </w:rPr>
        <w:t xml:space="preserve">A status quietly returning to Green without a human actually reviewing the evidence.</w:t>
      </w:r>
    </w:p>
    <w:p>
      <w:pPr>
        <w:pStyle w:val="ListParagraph"/>
        <w:numPr>
          <w:ilvl w:val="0"/>
          <w:numId w:val="2"/>
        </w:numPr>
        <w:spacing w:after="90" w:line="276"/>
      </w:pPr>
      <w:r>
        <w:rPr>
          <w:color w:val="16202C"/>
          <w:sz w:val="21"/>
          <w:szCs w:val="21"/>
        </w:rPr>
        <w:t xml:space="preserve">An audit trail or status history that can be edited after the fact by anyone, including an administrator.</w:t>
      </w:r>
    </w:p>
    <w:p>
      <w:pPr>
        <w:pStyle w:val="ListParagraph"/>
        <w:numPr>
          <w:ilvl w:val="0"/>
          <w:numId w:val="2"/>
        </w:numPr>
        <w:spacing w:after="90" w:line="276"/>
      </w:pPr>
      <w:r>
        <w:rPr>
          <w:color w:val="16202C"/>
          <w:sz w:val="21"/>
          <w:szCs w:val="21"/>
        </w:rPr>
        <w:t xml:space="preserve">A person verifying their own completed work.</w:t>
      </w:r>
    </w:p>
    <w:p>
      <w:pPr>
        <w:pStyle w:val="ListParagraph"/>
        <w:numPr>
          <w:ilvl w:val="0"/>
          <w:numId w:val="2"/>
        </w:numPr>
        <w:spacing w:after="90" w:line="276"/>
      </w:pPr>
      <w:r>
        <w:rPr>
          <w:color w:val="16202C"/>
          <w:sz w:val="21"/>
          <w:szCs w:val="21"/>
        </w:rPr>
        <w:t xml:space="preserve">A notification or report leaking information outside its recipient’s authorized scope - by construction, since both reuse the same scope-resolution logic as reads.</w:t>
      </w:r>
    </w:p>
    <w:p>
      <w:pPr>
        <w:pStyle w:val="ListParagraph"/>
        <w:numPr>
          <w:ilvl w:val="0"/>
          <w:numId w:val="2"/>
        </w:numPr>
        <w:spacing w:after="90" w:line="276"/>
      </w:pPr>
      <w:r>
        <w:rPr>
          <w:color w:val="16202C"/>
          <w:sz w:val="21"/>
          <w:szCs w:val="21"/>
        </w:rPr>
        <w:t xml:space="preserve">An interface that looks fine on a developer’s laptop and breaks on the screen an actual faculty member uses.</w:t>
      </w:r>
    </w:p>
    <w:p>
      <w:pPr>
        <w:spacing w:after="260"/>
      </w:pPr>
    </w:p>
    <w:p>
      <w:pPr>
        <w:pBdr>
          <w:top w:val="single" w:color="DFE4EC" w:sz="4" w:space="10"/>
        </w:pBdr>
        <w:spacing w:before="200"/>
      </w:pPr>
      <w:r>
        <w:rPr>
          <w:i/>
          <w:iCs/>
          <w:color w:val="55637A"/>
          <w:sz w:val="18"/>
          <w:szCs w:val="18"/>
        </w:rPr>
        <w:t xml:space="preserve">This document explains reasoning, not just structure. For the structure itself, see docs/ARCHITECTURE.md; for the clause-by-clause mapping to the requirements specification, see docs/REQUIREMENTS-TRACEABILITY.md; for the full endpoint list, see docs/API.md.</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FE4EC" w:sz="4" w:space="8"/>
      </w:pBdr>
      <w:jc w:val="center"/>
    </w:pPr>
    <w:r>
      <w:rPr>
        <w:color w:val="55637A"/>
        <w:sz w:val="17"/>
        <w:szCs w:val="17"/>
      </w:rPr>
      <w:t xml:space="preserve">Mini-Project Portfolio Monitoring Portal  ·  System Design Thinking  ·  Page </w:t>
    </w:r>
    <w:r>
      <w:rPr>
        <w:color w:val="55637A"/>
        <w:sz w:val="17"/>
        <w:szCs w:val="17"/>
      </w:rPr>
      <w:fldChar w:fldCharType="begin"/>
      <w:instrText xml:space="preserve">PAGE</w:instrText>
      <w:fldChar w:fldCharType="separate"/>
      <w:fldChar w:fldCharType="end"/>
    </w:r>
    <w:r>
      <w:rPr>
        <w:color w:val="55637A"/>
        <w:sz w:val="17"/>
        <w:szCs w:val="17"/>
      </w:rPr>
      <w:t xml:space="preserve"> of </w:t>
    </w:r>
    <w:r>
      <w:rPr>
        <w:color w:val="55637A"/>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6202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Mini-Project Portfolio Monitoring Portal — System Design Thinking</dc:title>
  <dc:creator>ApniLeap mini-project programme</dc:creator>
  <dc:description>Design goals, decisions and trade-offs behind the Mini-Project Portfolio Monitoring Portal</dc:description>
  <cp:lastModifiedBy>Un-named</cp:lastModifiedBy>
  <cp:revision>1</cp:revision>
  <dcterms:created xsi:type="dcterms:W3CDTF">2026-08-18T03:56:37.293Z</dcterms:created>
  <dcterms:modified xsi:type="dcterms:W3CDTF">2026-08-18T03:56:37.293Z</dcterms:modified>
</cp:coreProperties>
</file>

<file path=docProps/custom.xml><?xml version="1.0" encoding="utf-8"?>
<Properties xmlns="http://schemas.openxmlformats.org/officeDocument/2006/custom-properties" xmlns:vt="http://schemas.openxmlformats.org/officeDocument/2006/docPropsVTypes"/>
</file>