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JIM KAISER</w:t>
      </w:r>
    </w:p>
    <w:p>
      <w:pPr>
        <w:jc w:val="center"/>
      </w:pPr>
      <w:r>
        <w:t>Cleveland, Ohio | 440-476-7686 | jimkaiser@live.com</w:t>
        <w:br/>
        <w:t>LinkedIn: www.linkedin.com/in/jameskaiser1</w:t>
      </w:r>
    </w:p>
    <w:p>
      <w:pPr>
        <w:pStyle w:val="Heading1"/>
      </w:pPr>
      <w:r>
        <w:t>CHIEF FINANCIAL OFFICER | FINANCE EXECUTIVE</w:t>
      </w:r>
    </w:p>
    <w:p>
      <w:r>
        <w:t>Strategic financial executive with leadership experience across consumer products, specialty chemicals, manufacturing, and enterprise finance operations. Proven ability to build scalable financial organizations, strengthen financial controls, optimize working capital, and guide executive leadership through complex financial and operational decisions.</w:t>
      </w:r>
    </w:p>
    <w:p>
      <w:pPr>
        <w:pStyle w:val="Heading2"/>
      </w:pPr>
      <w:r>
        <w:t>Selected Executive Achievements</w:t>
      </w:r>
    </w:p>
    <w:p>
      <w:pPr>
        <w:pStyle w:val="ListBullet"/>
      </w:pPr>
      <w:r>
        <w:t>Prevented companywide financial fraud exposure by strengthening enterprise internal controls and financial governance</w:t>
      </w:r>
    </w:p>
    <w:p>
      <w:pPr>
        <w:pStyle w:val="ListBullet"/>
      </w:pPr>
      <w:r>
        <w:t>Reengineered North American credit operations into a shared services structure improving scalability and efficiency</w:t>
      </w:r>
    </w:p>
    <w:p>
      <w:pPr>
        <w:pStyle w:val="ListBullet"/>
      </w:pPr>
      <w:r>
        <w:t>Implemented ERP and financial reporting systems improving enterprise visibility and decision-making</w:t>
      </w:r>
    </w:p>
    <w:p>
      <w:pPr>
        <w:pStyle w:val="ListBullet"/>
      </w:pPr>
      <w:r>
        <w:t>Recovered over $100K in terminated letters of credit while redesigning credit and treasury processes</w:t>
      </w:r>
    </w:p>
    <w:p>
      <w:pPr>
        <w:pStyle w:val="ListBullet"/>
      </w:pPr>
      <w:r>
        <w:t>Authored global financial governance policies supporting compliance with audit and SOX standards</w:t>
      </w:r>
    </w:p>
    <w:p>
      <w:pPr>
        <w:pStyle w:val="ListBullet"/>
      </w:pPr>
      <w:r>
        <w:t>Implemented financial dashboards and operational reporting improving executive visibility into financial performance</w:t>
      </w:r>
    </w:p>
    <w:p>
      <w:pPr>
        <w:pStyle w:val="Heading2"/>
      </w:pPr>
      <w:r>
        <w:t>Executive Expertise</w:t>
      </w:r>
    </w:p>
    <w:p>
      <w:r>
        <w:t>Financial Strategy &amp; Corporate Finance • Accounting &amp; Financial Reporting • Treasury &amp; Banking Relationships • Working Capital Optimization • ERP Implementation &amp; Financial Systems • Budgeting, Forecasting &amp; FP&amp;A • GAAP &amp; IFRS Compliance • Operational Finance Transformation • Internal Controls &amp; Risk Management • Executive &amp; Board Financial Reporting</w:t>
      </w:r>
    </w:p>
    <w:p>
      <w:pPr>
        <w:pStyle w:val="Heading2"/>
      </w:pPr>
      <w:r>
        <w:t>Professional Experience</w:t>
      </w:r>
    </w:p>
    <w:p>
      <w:pPr>
        <w:pStyle w:val="Heading3"/>
      </w:pPr>
      <w:r>
        <w:t>Fun in Motion Toys – Cleveland, Ohio</w:t>
      </w:r>
    </w:p>
    <w:p>
      <w:r>
        <w:t>Chief Financial Officer | 2025 – Present</w:t>
      </w:r>
    </w:p>
    <w:p>
      <w:pPr>
        <w:pStyle w:val="ListBullet"/>
      </w:pPr>
      <w:r>
        <w:t>Lead financial strategy and enterprise finance operations for a growing consumer products organization</w:t>
      </w:r>
    </w:p>
    <w:p>
      <w:pPr>
        <w:pStyle w:val="ListBullet"/>
      </w:pPr>
      <w:r>
        <w:t>Direct accounting, treasury, financial planning, and reporting functions</w:t>
      </w:r>
    </w:p>
    <w:p>
      <w:pPr>
        <w:pStyle w:val="ListBullet"/>
      </w:pPr>
      <w:r>
        <w:t>Lead budgeting, forecasting, and strategic financial planning processes</w:t>
      </w:r>
    </w:p>
    <w:p>
      <w:pPr>
        <w:pStyle w:val="ListBullet"/>
      </w:pPr>
      <w:r>
        <w:t>Strengthen internal controls and financial reporting infrastructure</w:t>
      </w:r>
    </w:p>
    <w:p>
      <w:pPr>
        <w:pStyle w:val="ListBullet"/>
      </w:pPr>
      <w:r>
        <w:t>Manage banking relationships, capital structure, and working capital optimization</w:t>
      </w:r>
    </w:p>
    <w:p>
      <w:pPr>
        <w:pStyle w:val="Heading3"/>
      </w:pPr>
      <w:r>
        <w:t>Jim Kaiser Consulting – Cleveland, Ohio</w:t>
      </w:r>
    </w:p>
    <w:p>
      <w:r>
        <w:t>Financial Strategy &amp; Accounting Consultant | 2016 – 2025</w:t>
      </w:r>
    </w:p>
    <w:p>
      <w:pPr>
        <w:pStyle w:val="ListBullet"/>
      </w:pPr>
      <w:r>
        <w:t>Provided financial leadership and advisory services to private companies and private-equity backed organizations</w:t>
      </w:r>
    </w:p>
    <w:p>
      <w:pPr>
        <w:pStyle w:val="ListBullet"/>
      </w:pPr>
      <w:r>
        <w:t>Implemented ERP and financial reporting systems improving operational transparency</w:t>
      </w:r>
    </w:p>
    <w:p>
      <w:pPr>
        <w:pStyle w:val="ListBullet"/>
      </w:pPr>
      <w:r>
        <w:t>Redesigned accounting, AR/AP, and treasury processes improving financial controls</w:t>
      </w:r>
    </w:p>
    <w:p>
      <w:pPr>
        <w:pStyle w:val="ListBullet"/>
      </w:pPr>
      <w:r>
        <w:t>Supported executive teams with financial modeling, forecasting, and operational financial analysis</w:t>
      </w:r>
    </w:p>
    <w:p>
      <w:pPr>
        <w:pStyle w:val="ListBullet"/>
      </w:pPr>
      <w:r>
        <w:t>Strengthened audit readiness and GAAP compliance</w:t>
      </w:r>
    </w:p>
    <w:p>
      <w:pPr>
        <w:pStyle w:val="Heading3"/>
      </w:pPr>
      <w:r>
        <w:t>The Lubrizol Corporation – Cleveland, Ohio</w:t>
      </w:r>
    </w:p>
    <w:p>
      <w:r>
        <w:t>Global Credit Manager | 2008 – 2016</w:t>
      </w:r>
    </w:p>
    <w:p>
      <w:pPr>
        <w:pStyle w:val="ListBullet"/>
      </w:pPr>
      <w:r>
        <w:t>Developed global credit policies governing enterprise financial risk</w:t>
      </w:r>
    </w:p>
    <w:p>
      <w:pPr>
        <w:pStyle w:val="ListBullet"/>
      </w:pPr>
      <w:r>
        <w:t>Transformed North American credit operations into a shared services model</w:t>
      </w:r>
    </w:p>
    <w:p>
      <w:pPr>
        <w:pStyle w:val="ListBullet"/>
      </w:pPr>
      <w:r>
        <w:t>Strengthened financial governance and enterprise risk management</w:t>
      </w:r>
    </w:p>
    <w:p>
      <w:pPr>
        <w:pStyle w:val="ListBullet"/>
      </w:pPr>
      <w:r>
        <w:t>Partnered with senior leadership to improve working capital performance</w:t>
      </w:r>
    </w:p>
    <w:p>
      <w:pPr>
        <w:pStyle w:val="Heading3"/>
      </w:pPr>
      <w:r>
        <w:t>American Greetings Corporation – Cleveland, Ohio</w:t>
      </w:r>
    </w:p>
    <w:p>
      <w:r>
        <w:t>Assistant Treasurer | Director, Retailer Contract Management | Manager, Contract Administration | Supervisor, Retailer Financial Services | Regional Credit Manager | 1998 – 2008</w:t>
      </w:r>
    </w:p>
    <w:p>
      <w:pPr>
        <w:pStyle w:val="ListBullet"/>
      </w:pPr>
      <w:r>
        <w:t>Managed treasury operations including liquidity planning and banking relationships</w:t>
      </w:r>
    </w:p>
    <w:p>
      <w:pPr>
        <w:pStyle w:val="ListBullet"/>
      </w:pPr>
      <w:r>
        <w:t>Directed financial services teams supporting major national retail partners</w:t>
      </w:r>
    </w:p>
    <w:p>
      <w:pPr>
        <w:pStyle w:val="ListBullet"/>
      </w:pPr>
      <w:r>
        <w:t>Led financial contract management supporting revenue and profitability goals</w:t>
      </w:r>
    </w:p>
    <w:p>
      <w:pPr>
        <w:pStyle w:val="ListBullet"/>
      </w:pPr>
      <w:r>
        <w:t>Strengthened credit management practices and enterprise financial controls</w:t>
      </w:r>
    </w:p>
    <w:p>
      <w:pPr>
        <w:pStyle w:val="Heading2"/>
      </w:pPr>
      <w:r>
        <w:t>Education</w:t>
      </w:r>
    </w:p>
    <w:p>
      <w:r>
        <w:t>MBA – John Carroll University, Cleveland, Ohio</w:t>
      </w:r>
    </w:p>
    <w:p>
      <w:r>
        <w:t>Bachelor of Science in Finance – Northern Kentucky University, Highland Heights, Kentucky</w:t>
      </w:r>
    </w:p>
    <w:p>
      <w:pPr>
        <w:pStyle w:val="Heading2"/>
      </w:pPr>
      <w:r>
        <w:t>Professional Affiliations</w:t>
      </w:r>
    </w:p>
    <w:p>
      <w:pPr>
        <w:pStyle w:val="ListBullet"/>
      </w:pPr>
      <w:r>
        <w:t>Association for Financial Professionals</w:t>
      </w:r>
    </w:p>
    <w:p>
      <w:pPr>
        <w:pStyle w:val="ListBullet"/>
      </w:pPr>
      <w:r>
        <w:t>National Association of Credit Management</w:t>
      </w:r>
    </w:p>
    <w:p>
      <w:pPr>
        <w:pStyle w:val="ListBullet"/>
      </w:pPr>
      <w:r>
        <w:t>International Credit &amp; Trade Finance Professionals (RGCP)</w:t>
      </w:r>
    </w:p>
    <w:p>
      <w:pPr>
        <w:pStyle w:val="ListBullet"/>
      </w:pPr>
      <w:r>
        <w:t>Cleveland Foreign Credit Group – President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