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クリーンアーキテクチャ設計書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モジュール/サービス名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[モジュールまたはサービス名]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作成者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[作成者名]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作成日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[YYYY-MM-DD]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[ドラフト / レビュー中 / 承認済み]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[1.0]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1. 概要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1.1 目的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[このモジュール/サービスが何をするか？なぜ存在するか？]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1.2 ビジネスコンテキスト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[解決するビジネス課題。ユーザーストーリーまたは製品要件。]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1.3 アーキテクチャ原則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本設計書は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クリーンアーキテクチャ</w:t>
      </w:r>
      <w:r>
        <w:rPr>
          <w:rFonts w:ascii="Arial" w:cs="Arial" w:eastAsia="Arial" w:hAnsi="Arial"/>
          <w:sz w:val="22"/>
          <w:szCs w:val="22"/>
        </w:rPr>
        <w:t xml:space="preserve">（Robert C. Martin）の原則に従います：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フレームワーク非依存</w:t>
      </w:r>
      <w:r>
        <w:rPr>
          <w:rFonts w:ascii="Arial" w:cs="Arial" w:eastAsia="Arial" w:hAnsi="Arial"/>
          <w:sz w:val="22"/>
          <w:szCs w:val="22"/>
        </w:rPr>
        <w:t xml:space="preserve">: ビジネスロジックはフレームワークに依存しない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テスト容易性</w:t>
      </w:r>
      <w:r>
        <w:rPr>
          <w:rFonts w:ascii="Arial" w:cs="Arial" w:eastAsia="Arial" w:hAnsi="Arial"/>
          <w:sz w:val="22"/>
          <w:szCs w:val="22"/>
        </w:rPr>
        <w:t xml:space="preserve">: ビジネスルールはUI、データベース、外部サービスなしでテスト可能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UI非依存</w:t>
      </w:r>
      <w:r>
        <w:rPr>
          <w:rFonts w:ascii="Arial" w:cs="Arial" w:eastAsia="Arial" w:hAnsi="Arial"/>
          <w:sz w:val="22"/>
          <w:szCs w:val="22"/>
        </w:rPr>
        <w:t xml:space="preserve">: UIを変更してもビジネスルールに影響しない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データベース非依存</w:t>
      </w:r>
      <w:r>
        <w:rPr>
          <w:rFonts w:ascii="Arial" w:cs="Arial" w:eastAsia="Arial" w:hAnsi="Arial"/>
          <w:sz w:val="22"/>
          <w:szCs w:val="22"/>
        </w:rPr>
        <w:t xml:space="preserve">: ビジネスルールは特定のデータベースに縛られない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外部エージェント非依存</w:t>
      </w:r>
      <w:r>
        <w:rPr>
          <w:rFonts w:ascii="Arial" w:cs="Arial" w:eastAsia="Arial" w:hAnsi="Arial"/>
          <w:sz w:val="22"/>
          <w:szCs w:val="22"/>
        </w:rPr>
        <w:t xml:space="preserve">: ビジネスルールは外部システムに依存しない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2. レイヤーアーキテクチャ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アーキテクチャ図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[4層を示す同心円ダイアグラムを挿入してください]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フレームワーク＆ドライバ（インフラ）         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┌─────────────────────────────────────────┐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インターフェースアダプタ                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┌─────────────────────────────────────┐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ユースケース（アプリケーション）     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┌─────────────────────────────────┐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エンティティ（ドメイン）          │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└─────────────────────────────────┘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└─────────────────────────────────────┘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└─────────────────────────────────────────┘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 依存性ルール</w:t>
      </w:r>
    </w:p>
    <w:p>
      <w:pPr>
        <w:pBdr>
          <w:left w:val="single" w:color="2E75B6" w:sz="6" w:space="10"/>
        </w:pBdr>
        <w:spacing w:after="120"/>
        <w:ind w:left="7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ソースコードの依存関係は**内側にのみ**向かなければならない。内側の円は外側の円について何も知ることはできない。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3. エンティティ層（ドメイン）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ドメインモデル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エンティティ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主要属性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[エンティティ名]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[何を表すか]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[主要フィールド]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値オブジェクト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値オブジェクト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バリデーションルール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[値オブジェクト名]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[目的]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[制約]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3.3 ドメインルール / 不変条件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[エンティティが常に満たすべきビジネスルールを列挙してください。]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[ルール1：説明]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[ルール2：説明]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3.4 ドメインイベント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イベント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ペイロード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[イベント名]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[発生タイミング]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[主要データ]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3.5 エンティティ定義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[擬似コードまたは言語固有のクラス定義]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4. ユースケース層（アプリケーション）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ユースケース一覧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[ユースケース名]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[入力DTO]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[出力DTO]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[何をするか]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ユースケース詳細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[ユースケース名]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アクター</w:t>
      </w:r>
      <w:r>
        <w:rPr>
          <w:rFonts w:ascii="Arial" w:cs="Arial" w:eastAsia="Arial" w:hAnsi="Arial"/>
          <w:sz w:val="22"/>
          <w:szCs w:val="22"/>
        </w:rPr>
        <w:t xml:space="preserve">: [誰がトリガーするか]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事前条件</w:t>
      </w:r>
      <w:r>
        <w:rPr>
          <w:rFonts w:ascii="Arial" w:cs="Arial" w:eastAsia="Arial" w:hAnsi="Arial"/>
          <w:sz w:val="22"/>
          <w:szCs w:val="22"/>
        </w:rPr>
        <w:t xml:space="preserve">: [実行前に真であるべきこと]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フロー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[ステップ1]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[ステップ2]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[ステップ3]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事後条件</w:t>
      </w:r>
      <w:r>
        <w:rPr>
          <w:rFonts w:ascii="Arial" w:cs="Arial" w:eastAsia="Arial" w:hAnsi="Arial"/>
          <w:sz w:val="22"/>
          <w:szCs w:val="22"/>
        </w:rPr>
        <w:t xml:space="preserve">: [実行後に真であること]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エラーケース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[エラーケース1 → ハンドリング]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[エラーケース2 → ハンドリング]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入出力DTO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[DTO定義 — リクエストとレスポンスのデータ構造]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 リポジトリインターフェース（ポート）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[データアクセスのインターフェース定義 — この層で定義され、外側の層で実装される]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4.5 外部サービスインターフェース（ポート）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[外部サービス呼び出しのインターフェース定義]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5. インターフェースアダプタ層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コントローラ / ハンドラ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コントローラ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ルート/トリガー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[コントローラ名]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[HTTPルートまたはイベント]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[呼び出すユースケース]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プレゼンター / レスポンスマッパー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[ドメインオブジェクトがAPIレスポンスやビューモデルにどう変換されるか。]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 リポジトリ実装（アダプタ）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リポジトリインターフェース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データストア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[インターフェース名]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[実装クラス]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[DB/キャッシュなど]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5.4 外部サービスアダプタ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サービスインターフェース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外部システム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[インターフェース名]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[アダプタクラス]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[サードパーティAPI/サービス]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5.5 マッパー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[レイヤー間のデータマッピング方法：ドメイン ↔ DTO ↔ 永続化モデル]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6. フレームワーク＆ドライバ層（インフラストラクチャ）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6.1 Webフレームワーク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[フレームワークの選択と設定：Express、Gin、Spring Bootなど。]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6.2 データベース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[データベース技術、接続管理、ORM/クエリビルダー。]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6.3 メッセージブローカー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[イベントバス、メッセージキューの設定。]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6.4 外部ライブラリ＆SDK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ライブラリ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[ライブラリ名]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[用途]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[使用レイヤー]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6.5 依存性注入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[DIフレームワーク/コンテナとワイヤリング戦略。]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7. ディレクトリ構成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domain/                    # エンティティ層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entities/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value-objects/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events/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errors/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application/               # ユースケース層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use-cases/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dtos/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ports/                 # リポジトリ＆サービスインターフェース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errors/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adapters/                  # インターフェースアダプタ層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controllers/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presenters/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repositories/          # アダプタ実装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  # 外部サービスアダプタ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mappers/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infrastructure/            # フレームワーク＆ドライバ層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config/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database/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messaging/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di/                    # 依存性注入の設定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server/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8. 依存性ルールと境界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許可される依存関係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依存可能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依存不可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エンティティ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なし（純粋なドメイン）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アプリケーション、アダプタ、インフラ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ユースケース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エンティティ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アダプタ、インフラ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アダプタ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ユースケース、エンティティ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インフラ（DI経由を除く）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インフラ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すべての内側レイヤー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8.2 境界の横断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[レイヤー境界をデータがどう横断するか：DTO、インターフェース、依存性逆転。]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8.3 ルールの強制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[依存性ルールの強制方法：リントルール、アーキテクチャテスト、モジュール境界。]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9. テスト戦略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9.1 テストピラミッド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テスト種別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モック戦略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エンティティ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ユニットテスト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モック不要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ユースケース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ユニットテスト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リポジトリ/サービスポートをモック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アダプタ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統合テスト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実DB（テストコンテナ）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インフラ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E2Eテスト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フルスタック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9.2 テスト例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[各レイヤーのテスト構造例]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10. エラーハンドリング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10.1 ドメインエラー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[ビジネスルール違反のカスタムエラー型。]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10.2 アプリケーションエラー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[ユースケース固有のエラー：未検出、バリデーション失敗など。]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10.3 エラー変換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[ドメインエラーがアダプタ層でHTTPステータスコードやユーザー向けメッセージにどう変換されるか。]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ドメインエラー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HTTPステータス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ユーザーメッセージ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[エラー型]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[ステータスコード]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[メッセージ]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11. 横断的関心事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11.1 ロギング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[レイヤー境界を侵害せずにロギングをどこでどう実装するか。]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11.2 認証・認可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[アダプタ層での認証処理とユースケースへの受け渡し方法。]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11.3 バリデーション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[アダプタ層での入力バリデーション vs エンティティでのドメインバリデーション。]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11.4 キャッシング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[キャッシュ戦略とアーキテクチャ内での配置。]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12. マイグレーション計画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12.1 現状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[既存システムから移行する場合、現在のアーキテクチャを記述。]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12.2 目標状態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[クリーンアーキテクチャの目標状態を記述。]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12.3 マイグレーション手順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ロールバック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[ステップ1]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[説明]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[リスクレベル]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[ロールバック方法]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13. 未決事項と決定事項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質問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[質問]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[未決/解決済み]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[解決済みの場合の決定]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[日付]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14. 参考資料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[クリーンアーキテクチャ — Robert C. Martin](https://blog.cleancoder.com/uncle-bob/2012/08/13/the-clean-architecture.html)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[関連設計書]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[API仕様書]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Recerdo — クリーンアーキテクチャ設計書テンプレート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2026-04-12T13:44:07.126Z</dcterms:created>
  <dcterms:modified xsi:type="dcterms:W3CDTF">2026-04-12T13:44:07.126Z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