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1522"/>
        <w:gridCol w:w="1091"/>
        <w:gridCol w:w="2825"/>
        <w:gridCol w:w="2501"/>
        <w:gridCol w:w="1526"/>
      </w:tblGrid>
      <w:tr w:rsidR="00554117" w:rsidRPr="00554117" w14:paraId="5E51C945" w14:textId="77777777" w:rsidTr="00554117">
        <w:trPr>
          <w:trHeight w:val="450"/>
        </w:trPr>
        <w:tc>
          <w:tcPr>
            <w:tcW w:w="5000" w:type="pct"/>
            <w:gridSpan w:val="6"/>
            <w:vMerge w:val="restart"/>
            <w:shd w:val="clear" w:color="000000" w:fill="B4C6E7"/>
            <w:noWrap/>
            <w:vAlign w:val="center"/>
            <w:hideMark/>
          </w:tcPr>
          <w:p w14:paraId="3296CD6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554117">
        <w:trPr>
          <w:trHeight w:val="300"/>
        </w:trPr>
        <w:tc>
          <w:tcPr>
            <w:tcW w:w="5000" w:type="pct"/>
            <w:gridSpan w:val="6"/>
            <w:shd w:val="clear" w:color="000000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54117" w:rsidRPr="00554117" w14:paraId="755826A2" w14:textId="77777777" w:rsidTr="00554117">
        <w:trPr>
          <w:trHeight w:val="420"/>
        </w:trPr>
        <w:tc>
          <w:tcPr>
            <w:tcW w:w="5000" w:type="pct"/>
            <w:gridSpan w:val="6"/>
            <w:noWrap/>
            <w:vAlign w:val="center"/>
            <w:hideMark/>
          </w:tcPr>
          <w:p w14:paraId="3ACEFBEF" w14:textId="2B7C7F6D" w:rsidR="00554117" w:rsidRPr="00554117" w:rsidRDefault="00875979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87597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Integracja systemu ERP z programem księgowym</w:t>
            </w:r>
            <w:r w:rsidR="002F5FC6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="00AC0A6C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-</w:t>
            </w:r>
            <w:r w:rsidR="002F5FC6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</w:t>
            </w:r>
            <w:r w:rsidRPr="00875979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sprzedaż</w:t>
            </w:r>
          </w:p>
        </w:tc>
      </w:tr>
      <w:tr w:rsidR="00554117" w:rsidRPr="00554117" w14:paraId="1C8B2DC5" w14:textId="77777777" w:rsidTr="0024054A">
        <w:trPr>
          <w:trHeight w:val="600"/>
        </w:trPr>
        <w:tc>
          <w:tcPr>
            <w:tcW w:w="1677" w:type="pct"/>
            <w:gridSpan w:val="3"/>
            <w:shd w:val="clear" w:color="000000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323" w:type="pct"/>
            <w:gridSpan w:val="3"/>
            <w:vAlign w:val="center"/>
            <w:hideMark/>
          </w:tcPr>
          <w:p w14:paraId="113C4244" w14:textId="2297E55B" w:rsidR="00554117" w:rsidRPr="00554117" w:rsidRDefault="0024054A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24054A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– interfejs ERP FK</w:t>
            </w:r>
          </w:p>
        </w:tc>
      </w:tr>
      <w:tr w:rsidR="00554117" w:rsidRPr="00554117" w14:paraId="5ED344F3" w14:textId="77777777" w:rsidTr="00554117">
        <w:trPr>
          <w:trHeight w:val="450"/>
        </w:trPr>
        <w:tc>
          <w:tcPr>
            <w:tcW w:w="5000" w:type="pct"/>
            <w:gridSpan w:val="6"/>
            <w:vMerge w:val="restart"/>
            <w:shd w:val="clear" w:color="000000" w:fill="F8CBAD"/>
            <w:noWrap/>
            <w:vAlign w:val="center"/>
            <w:hideMark/>
          </w:tcPr>
          <w:p w14:paraId="2267B2A3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DZIAŁAŃ BADAWCZO ROZWOJOWYCH:</w:t>
            </w:r>
          </w:p>
        </w:tc>
      </w:tr>
      <w:tr w:rsidR="00554117" w:rsidRPr="00554117" w14:paraId="5ABBED7D" w14:textId="77777777" w:rsidTr="00554117">
        <w:trPr>
          <w:trHeight w:val="450"/>
        </w:trPr>
        <w:tc>
          <w:tcPr>
            <w:tcW w:w="5000" w:type="pct"/>
            <w:gridSpan w:val="6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CE8EF21" w14:textId="77777777" w:rsidTr="008C63D9">
        <w:trPr>
          <w:trHeight w:val="450"/>
        </w:trPr>
        <w:tc>
          <w:tcPr>
            <w:tcW w:w="1148" w:type="pct"/>
            <w:gridSpan w:val="2"/>
            <w:vMerge w:val="restart"/>
            <w:shd w:val="clear" w:color="000000" w:fill="D9D9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2" w:type="pct"/>
            <w:gridSpan w:val="4"/>
            <w:vMerge w:val="restart"/>
            <w:hideMark/>
          </w:tcPr>
          <w:p w14:paraId="1BD328F3" w14:textId="77777777" w:rsidR="005D2636" w:rsidRDefault="00BC751D" w:rsidP="00BC751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Celem projektu było zaprojektowanie i wdrożenie zintegrowanego, niskolatencyjnego toru wymiany danych pomiędzy systemem ERP a programem magazynowo-księgowym (sprzedaż/finanse), tak aby ujednolicić model danych sprzedażowych, zautomatyzować przekaz do księgowości oraz zwiększyć elastyczność i przepustowość procesu wystawiania dokumentów. </w:t>
            </w:r>
          </w:p>
          <w:p w14:paraId="5B8AAFD2" w14:textId="77777777" w:rsidR="005D2636" w:rsidRDefault="005D2636" w:rsidP="00BC751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312AE87" w14:textId="0ED6A528" w:rsidR="00BC751D" w:rsidRPr="00BC751D" w:rsidRDefault="00BC751D" w:rsidP="00BC751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 oparto na warstwie pośredniej (staging) oraz zestawie procedur składowanych i widoków materializowanych, umożliwiających dostęp „na żądanie” (on-demand) do zweryfikowanych, spójnych rekordów transakcyjnych dla modułów: sprzedaż, zakupy, gospodarka magazynowa i finansowo-księgowa.</w:t>
            </w:r>
          </w:p>
          <w:p w14:paraId="618DBEBF" w14:textId="77777777" w:rsidR="005D2636" w:rsidRDefault="005D2636" w:rsidP="00BC751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EBE2D70" w14:textId="24B59733" w:rsidR="00BC751D" w:rsidRPr="00BC751D" w:rsidRDefault="00BC751D" w:rsidP="00BC751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 ramach integracji zdefiniowano kanoniczny schemat danych sprzedażowych (pozycje dokumentów, ceny, rabaty, atrybuty kosztowe, mapowania VAT i kont K/PK), mechanizmy inkrementalnego zasilania (CDC/ELT), walidacje referencyjne (MDM: kartoteka towarów/kontrahentów, słowniki stawek), a także reguły uzgadniania zapisów FK (pre-posting i posting). Kierownictwu i działowi analiz udostępniono warstwę analityczną (subject-area marts) wraz z zestawami oraz raportami ERP do monitoringu marżowości i kosztów zakupów.</w:t>
            </w:r>
          </w:p>
          <w:p w14:paraId="22C90D6E" w14:textId="77777777" w:rsidR="005D2636" w:rsidRDefault="005D2636" w:rsidP="00BC7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  <w:p w14:paraId="00E1E49A" w14:textId="15DB8D51" w:rsidR="00BC751D" w:rsidRPr="00BC751D" w:rsidRDefault="00BC751D" w:rsidP="00BC751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Zakładane właściwości funkcjonalne i niefunkcjonalne rozwiązania:</w:t>
            </w:r>
          </w:p>
          <w:p w14:paraId="750BA349" w14:textId="77777777" w:rsidR="00BC751D" w:rsidRPr="00BC751D" w:rsidRDefault="00BC751D" w:rsidP="00BC751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Spójność i kompletność danych: transformacje idempotentne, deduplikacja (klucze naturalne + skróty), kontrolo-sumy partii, walidacje VAT/kont K/PK przed przekazaniem do FK.</w:t>
            </w:r>
          </w:p>
          <w:p w14:paraId="5A842254" w14:textId="77777777" w:rsidR="00BC751D" w:rsidRPr="00BC751D" w:rsidRDefault="00BC751D" w:rsidP="00BC751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Niska latencja integracji: zasilanie przyrostowe (CDC/znaczniki czasowe) – SLA opóźnienia do księgowości i raportowania &lt; 5 min dla dokumentów sprzedaży.</w:t>
            </w:r>
          </w:p>
          <w:p w14:paraId="1A25CACF" w14:textId="77777777" w:rsidR="00BC751D" w:rsidRPr="00BC751D" w:rsidRDefault="00BC751D" w:rsidP="00BC751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Elastyczność wystawiania dokumentów: parametryzowane szablony (typy dokumentów, kursy, magazyny, polityki rabatowe) oraz automatyczne mapowanie na schemat księgowy.</w:t>
            </w:r>
          </w:p>
          <w:p w14:paraId="36E215F5" w14:textId="77777777" w:rsidR="00BC751D" w:rsidRPr="00BC751D" w:rsidRDefault="00BC751D" w:rsidP="00BC751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Warstwa pośrednia (staging/ODS): tabele pośrednie i procedury składowane po stronie ERP zapewniające dostęp „na żądanie” i kontrolę wersji transformacji; ślad rewizyjny (audit trail).</w:t>
            </w:r>
          </w:p>
          <w:p w14:paraId="1A7118AB" w14:textId="77777777" w:rsidR="00BC751D" w:rsidRPr="00BC751D" w:rsidRDefault="00BC751D" w:rsidP="00BC751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Jakość danych i zgodność: reguły walidacji (NOT NULL, zakresy, referencyjność), raporty błędów z pętlą korekt, zgodność liczników sprzedaży i stanów magazynowych (reconciliation).</w:t>
            </w:r>
          </w:p>
          <w:p w14:paraId="7FCC2897" w14:textId="77777777" w:rsidR="00BC751D" w:rsidRPr="00BC751D" w:rsidRDefault="00BC751D" w:rsidP="00BC751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Bezpieczeństwo i dostęp: RBAC/ABAC, maskowanie danych wrażliwych, dzienniki dostępu; podział ról (Księgowość/Analityka/Operacje/IT).</w:t>
            </w:r>
          </w:p>
          <w:p w14:paraId="563E2C34" w14:textId="77777777" w:rsidR="00BC751D" w:rsidRPr="00BC751D" w:rsidRDefault="00BC751D" w:rsidP="00BC751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Warstwa analityczna dla decydentów: gotowe zestawienia Crystal Reports i raporty ERP (sprzedaż dzienna/ASORT/klient, marża kontribucyjna, zakupy vs. koszt własny), z możliwością drążenia (drill-down) do poziomu pozycji.</w:t>
            </w:r>
          </w:p>
          <w:p w14:paraId="2A32B0C4" w14:textId="77777777" w:rsidR="00BC751D" w:rsidRDefault="00BC751D" w:rsidP="00BC751D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Skalowalność i utrzymanie: monitorowanie kolejek integracyjnych, alerty SLA, metryki jakości (kompletność/zgodność), wersjonowanie artefaktów integracyjnych.</w:t>
            </w:r>
          </w:p>
          <w:p w14:paraId="7509794D" w14:textId="77777777" w:rsidR="00927FBB" w:rsidRPr="00BC751D" w:rsidRDefault="00927FBB" w:rsidP="00172188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EF99A16" w14:textId="77777777" w:rsidR="00E16AE1" w:rsidRDefault="008663D9" w:rsidP="002E251D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Opracowane rozwiązania za</w:t>
            </w:r>
            <w:r w:rsidR="00BC751D"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pewni</w:t>
            </w:r>
            <w:r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ły</w:t>
            </w:r>
            <w:r w:rsidR="00BC751D"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 granularny, terminowy strumień danych sprzedażowych</w:t>
            </w:r>
            <w:r w:rsidR="00E16AE1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. K</w:t>
            </w:r>
            <w:r w:rsidR="00BC751D"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ierownictwo oraz dział analiz uzyskały natychmiastowy wgląd w wyniki (sprzedaż, koszty, marże). </w:t>
            </w:r>
          </w:p>
          <w:p w14:paraId="185BA834" w14:textId="77777777" w:rsidR="00E16AE1" w:rsidRDefault="00E16AE1" w:rsidP="002E251D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00ECD060" w14:textId="6EDF402F" w:rsidR="003D5410" w:rsidRDefault="00BC751D" w:rsidP="00E16AE1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Rozwiązanie zostało opracowane i skonfigurowane we własnym zakresie IT</w:t>
            </w:r>
            <w:r w:rsidRPr="00C42EDD">
              <w:rPr>
                <w:rFonts w:ascii="Calibri" w:eastAsia="Times New Roman" w:hAnsi="Calibri" w:cs="Calibri"/>
                <w:color w:val="EE0000"/>
                <w:kern w:val="0"/>
                <w:lang w:eastAsia="pl-PL"/>
                <w14:ligatures w14:val="none"/>
              </w:rPr>
              <w:t xml:space="preserve"> </w:t>
            </w:r>
            <w:r w:rsidRPr="00BC751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rozszerzeń ERP oraz dedykowanej warstwy tabel pośrednich i procedur w bazie danych.</w:t>
            </w:r>
          </w:p>
          <w:p w14:paraId="3883BE91" w14:textId="77777777" w:rsidR="000A4DF5" w:rsidRDefault="000A4DF5" w:rsidP="00E16AE1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9A1ADF2" w14:textId="77777777" w:rsidR="00C671A7" w:rsidRDefault="005F4CD8" w:rsidP="005F4CD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Zastosowano podejście hybrydowe Stage-Gate + Agile: </w:t>
            </w:r>
          </w:p>
          <w:p w14:paraId="08859E6F" w14:textId="77777777" w:rsidR="00C671A7" w:rsidRDefault="005F4CD8" w:rsidP="005F4CD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backlog integracyjny realizowany w sprintach 2-tygodniowych (build → test → demo), z bramkami jakości (Gate: koncepcja, gotowość pilotażu, zamrożenie produkcyjne). </w:t>
            </w:r>
          </w:p>
          <w:p w14:paraId="05B8F367" w14:textId="77777777" w:rsidR="00C671A7" w:rsidRDefault="00C671A7" w:rsidP="005F4CD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C27FAF2" w14:textId="091BAC98" w:rsidR="005F4CD8" w:rsidRPr="004C36CD" w:rsidRDefault="005F4CD8" w:rsidP="005F4CD8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Automaty testów integracyjnych, monitoring SLA oraz CI/CD dla artefaktów bazy danych (migracje, kontrola wersji).</w:t>
            </w:r>
          </w:p>
          <w:p w14:paraId="76A642BA" w14:textId="1ED8BF1A" w:rsidR="000A4DF5" w:rsidRPr="00554117" w:rsidRDefault="000A4DF5" w:rsidP="00E16AE1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9BB3122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7F2A974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1FF9A9C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8A9AA77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0D58B7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1F8099E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02550" w14:textId="77777777" w:rsidTr="008C63D9">
        <w:trPr>
          <w:trHeight w:val="3621"/>
        </w:trPr>
        <w:tc>
          <w:tcPr>
            <w:tcW w:w="1148" w:type="pct"/>
            <w:gridSpan w:val="2"/>
            <w:vMerge/>
            <w:vAlign w:val="center"/>
            <w:hideMark/>
          </w:tcPr>
          <w:p w14:paraId="1FFD9E5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5FAFC32C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554117">
        <w:trPr>
          <w:trHeight w:val="900"/>
        </w:trPr>
        <w:tc>
          <w:tcPr>
            <w:tcW w:w="5000" w:type="pct"/>
            <w:gridSpan w:val="6"/>
            <w:shd w:val="clear" w:color="000000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554117" w:rsidRPr="00554117" w14:paraId="6EF94295" w14:textId="77777777" w:rsidTr="008C63D9">
        <w:trPr>
          <w:trHeight w:val="900"/>
        </w:trPr>
        <w:tc>
          <w:tcPr>
            <w:tcW w:w="1148" w:type="pct"/>
            <w:gridSpan w:val="2"/>
            <w:shd w:val="clear" w:color="000000" w:fill="D9D9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3112" w:type="pct"/>
            <w:gridSpan w:val="3"/>
            <w:shd w:val="clear" w:color="000000" w:fill="D9D9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740" w:type="pct"/>
            <w:shd w:val="clear" w:color="000000" w:fill="D9D9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54117" w:rsidRPr="00554117" w14:paraId="37729810" w14:textId="77777777" w:rsidTr="008C63D9">
        <w:trPr>
          <w:trHeight w:val="321"/>
        </w:trPr>
        <w:tc>
          <w:tcPr>
            <w:tcW w:w="1148" w:type="pct"/>
            <w:gridSpan w:val="2"/>
            <w:noWrap/>
            <w:vAlign w:val="center"/>
            <w:hideMark/>
          </w:tcPr>
          <w:p w14:paraId="6B7C53F3" w14:textId="36C7274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556E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1BAD7B01" w14:textId="6679192D" w:rsidR="00554117" w:rsidRPr="00554117" w:rsidRDefault="007D3F14" w:rsidP="00C67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Analiza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  <w:r w:rsidR="00C671A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– opracowanie koncepcji </w:t>
            </w:r>
          </w:p>
        </w:tc>
        <w:tc>
          <w:tcPr>
            <w:tcW w:w="740" w:type="pct"/>
            <w:vAlign w:val="center"/>
            <w:hideMark/>
          </w:tcPr>
          <w:p w14:paraId="6954943A" w14:textId="0CE6FE40" w:rsidR="00554117" w:rsidRPr="00554117" w:rsidRDefault="008427F3" w:rsidP="00842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11.2024</w:t>
            </w:r>
          </w:p>
        </w:tc>
      </w:tr>
      <w:tr w:rsidR="008427F3" w:rsidRPr="00554117" w14:paraId="068943E0" w14:textId="77777777" w:rsidTr="00B7661D">
        <w:trPr>
          <w:trHeight w:val="420"/>
        </w:trPr>
        <w:tc>
          <w:tcPr>
            <w:tcW w:w="1148" w:type="pct"/>
            <w:gridSpan w:val="2"/>
            <w:noWrap/>
            <w:vAlign w:val="center"/>
            <w:hideMark/>
          </w:tcPr>
          <w:p w14:paraId="42407EB2" w14:textId="77777777" w:rsidR="008427F3" w:rsidRPr="00554117" w:rsidRDefault="008427F3" w:rsidP="00842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3F49472F" w14:textId="6C19D490" w:rsidR="008427F3" w:rsidRPr="00554117" w:rsidRDefault="008427F3" w:rsidP="0084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Uruchomienie środowiska testowego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  <w:tc>
          <w:tcPr>
            <w:tcW w:w="740" w:type="pct"/>
            <w:hideMark/>
          </w:tcPr>
          <w:p w14:paraId="793CABB7" w14:textId="173EEF6E" w:rsidR="008427F3" w:rsidRPr="00554117" w:rsidRDefault="008427F3" w:rsidP="00842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31F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11.2024</w:t>
            </w:r>
          </w:p>
        </w:tc>
      </w:tr>
      <w:tr w:rsidR="008427F3" w:rsidRPr="00554117" w14:paraId="1A9283B9" w14:textId="77777777" w:rsidTr="00B7661D">
        <w:trPr>
          <w:trHeight w:val="381"/>
        </w:trPr>
        <w:tc>
          <w:tcPr>
            <w:tcW w:w="1148" w:type="pct"/>
            <w:gridSpan w:val="2"/>
            <w:noWrap/>
            <w:vAlign w:val="center"/>
            <w:hideMark/>
          </w:tcPr>
          <w:p w14:paraId="5AFDAF8E" w14:textId="77777777" w:rsidR="008427F3" w:rsidRPr="00554117" w:rsidRDefault="008427F3" w:rsidP="00842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5144C9DB" w14:textId="51FF37F5" w:rsidR="008427F3" w:rsidRPr="00554117" w:rsidRDefault="008427F3" w:rsidP="0084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Testy</w:t>
            </w:r>
          </w:p>
        </w:tc>
        <w:tc>
          <w:tcPr>
            <w:tcW w:w="740" w:type="pct"/>
            <w:hideMark/>
          </w:tcPr>
          <w:p w14:paraId="5700A648" w14:textId="4A71F668" w:rsidR="008427F3" w:rsidRPr="00554117" w:rsidRDefault="008427F3" w:rsidP="00842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31F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 w:rsidRPr="00E31F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8427F3" w:rsidRPr="00554117" w14:paraId="2A9C6774" w14:textId="77777777" w:rsidTr="00B7661D">
        <w:trPr>
          <w:trHeight w:val="381"/>
        </w:trPr>
        <w:tc>
          <w:tcPr>
            <w:tcW w:w="1148" w:type="pct"/>
            <w:gridSpan w:val="2"/>
            <w:noWrap/>
            <w:vAlign w:val="center"/>
            <w:hideMark/>
          </w:tcPr>
          <w:p w14:paraId="01D41239" w14:textId="77777777" w:rsidR="008427F3" w:rsidRPr="00554117" w:rsidRDefault="008427F3" w:rsidP="00842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3112" w:type="pct"/>
            <w:gridSpan w:val="3"/>
            <w:vAlign w:val="center"/>
            <w:hideMark/>
          </w:tcPr>
          <w:p w14:paraId="3FCBC928" w14:textId="7D97AE8F" w:rsidR="008427F3" w:rsidRPr="00554117" w:rsidRDefault="008427F3" w:rsidP="00842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Uruchomienie projektu</w:t>
            </w:r>
          </w:p>
        </w:tc>
        <w:tc>
          <w:tcPr>
            <w:tcW w:w="740" w:type="pct"/>
            <w:hideMark/>
          </w:tcPr>
          <w:p w14:paraId="07F0E312" w14:textId="4FFF1C6C" w:rsidR="008427F3" w:rsidRPr="00554117" w:rsidRDefault="008427F3" w:rsidP="00842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E31F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 w:rsidRPr="00E31F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554117" w:rsidRPr="00554117" w14:paraId="395C1E8A" w14:textId="77777777" w:rsidTr="008C63D9">
        <w:trPr>
          <w:trHeight w:val="3400"/>
        </w:trPr>
        <w:tc>
          <w:tcPr>
            <w:tcW w:w="1148" w:type="pct"/>
            <w:gridSpan w:val="2"/>
            <w:shd w:val="clear" w:color="000000" w:fill="D9D9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2" w:type="pct"/>
            <w:gridSpan w:val="4"/>
            <w:hideMark/>
          </w:tcPr>
          <w:p w14:paraId="110C4F0A" w14:textId="77777777" w:rsidR="004C36CD" w:rsidRDefault="004C36CD" w:rsidP="004C36C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  <w:p w14:paraId="39E761EA" w14:textId="77777777" w:rsidR="008B0DD1" w:rsidRPr="004C36CD" w:rsidRDefault="008B0DD1" w:rsidP="004C36C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040EB35" w14:textId="77777777" w:rsidR="004C36CD" w:rsidRPr="004C36CD" w:rsidRDefault="004C36CD" w:rsidP="004C36CD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Heterogeniczność modeli danych i mapowań VAT/KPiR/FK. Ujednolicono schemat kanoniczny (pozycje, ceny, rabaty, stawki VAT, konta) oraz opracowano reguły transformacji i walidacji referencyjnej (MDM kontrahentów/asortymentu).</w:t>
            </w:r>
          </w:p>
          <w:p w14:paraId="3E40BC89" w14:textId="77777777" w:rsidR="008B0DD1" w:rsidRDefault="008B0DD1" w:rsidP="008B0DD1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758C090C" w14:textId="6C52A282" w:rsidR="004C36CD" w:rsidRPr="004C36CD" w:rsidRDefault="004C36CD" w:rsidP="004C36CD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Latencja i spójność transakcji między systemami. Zaimplementowano zasilanie przyrostowe (CDC/ELT), idempotentne procedury w stagingu, sumy </w:t>
            </w:r>
            <w:r w:rsidR="002544B2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kontrolne </w:t>
            </w: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partii i reconciliację stanów magazynowych/sprzedaży przed księgowaniem.</w:t>
            </w:r>
          </w:p>
          <w:p w14:paraId="5713F054" w14:textId="77777777" w:rsidR="008B0DD1" w:rsidRDefault="008B0DD1" w:rsidP="008B0DD1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844056D" w14:textId="548D982E" w:rsidR="004C36CD" w:rsidRPr="004C36CD" w:rsidRDefault="004C36CD" w:rsidP="004C36CD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Jakość danych i błędy operatorskie. Wprowadzono walidacje przed-post (NOT NULL, zakresy, słowniki), raporty błędów z pętlą korekt oraz testy DRY-RUN dokumentów.</w:t>
            </w:r>
          </w:p>
          <w:p w14:paraId="64E5E5A7" w14:textId="77777777" w:rsidR="008B0DD1" w:rsidRDefault="008B0DD1" w:rsidP="008B0DD1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167E7CF5" w14:textId="77777777" w:rsidR="00554117" w:rsidRDefault="004C36CD" w:rsidP="00554117">
            <w:pPr>
              <w:numPr>
                <w:ilvl w:val="0"/>
                <w:numId w:val="2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Śladowalność i audyt. Dodano dzienniki integracyjne, wersjonowanie transformacji i raporty zgodności Crystal Reports; zdefiniowano SLA i alerty dla opóźnień/odrzuceń.</w:t>
            </w:r>
          </w:p>
          <w:p w14:paraId="34AE608D" w14:textId="32F7BBA1" w:rsidR="008C63D9" w:rsidRPr="008B0DD1" w:rsidRDefault="008C63D9" w:rsidP="008C63D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CBE638" w14:textId="77777777" w:rsidTr="008C63D9">
        <w:trPr>
          <w:trHeight w:val="1140"/>
        </w:trPr>
        <w:tc>
          <w:tcPr>
            <w:tcW w:w="1148" w:type="pct"/>
            <w:gridSpan w:val="2"/>
            <w:shd w:val="clear" w:color="000000" w:fill="D9D9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prace o charakterze twórczym w projekcie</w:t>
            </w:r>
          </w:p>
        </w:tc>
        <w:tc>
          <w:tcPr>
            <w:tcW w:w="3852" w:type="pct"/>
            <w:gridSpan w:val="4"/>
            <w:hideMark/>
          </w:tcPr>
          <w:p w14:paraId="03183B21" w14:textId="7018DAE6" w:rsidR="001B7B6A" w:rsidRDefault="001B7B6A" w:rsidP="001B7B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Podstawowe prace o charakterze twórczym w projekcie</w:t>
            </w:r>
            <w:r w:rsidR="003349D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:</w:t>
            </w:r>
          </w:p>
          <w:p w14:paraId="505A972F" w14:textId="77777777" w:rsidR="00051D44" w:rsidRPr="004C36CD" w:rsidRDefault="00051D44" w:rsidP="001B7B6A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3A108ED" w14:textId="77777777" w:rsidR="001B7B6A" w:rsidRPr="004C36CD" w:rsidRDefault="001B7B6A" w:rsidP="001B7B6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Zaprojektowanie kanonicznego modelu danych sprzedażowych i zestawu reguł transformacji (procedury składowane, widoki materializowane).</w:t>
            </w:r>
          </w:p>
          <w:p w14:paraId="08F9AD5F" w14:textId="77777777" w:rsidR="00051D44" w:rsidRDefault="00051D44" w:rsidP="00051D44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3E03ED2" w14:textId="3E66CE00" w:rsidR="001B7B6A" w:rsidRPr="004C36CD" w:rsidRDefault="001B7B6A" w:rsidP="001B7B6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Budowa warstwy pośredniej (staging/ODS) z idempotencją wsadów, mechanizmami deduplikacji i reconciliacją.</w:t>
            </w:r>
          </w:p>
          <w:p w14:paraId="6606B14A" w14:textId="77777777" w:rsidR="00051D44" w:rsidRDefault="00051D44" w:rsidP="00051D44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2CD6DD26" w14:textId="6D7CC10B" w:rsidR="001B7B6A" w:rsidRPr="004C36CD" w:rsidRDefault="001B7B6A" w:rsidP="001B7B6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lastRenderedPageBreak/>
              <w:t>Opracowanie konektorów integracyjnych ERP ↔ FK wraz z obsługą wyjątków i kolejek retry.</w:t>
            </w:r>
          </w:p>
          <w:p w14:paraId="1D909B0D" w14:textId="77777777" w:rsidR="00051D44" w:rsidRDefault="00051D44" w:rsidP="00051D44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49EED2FF" w14:textId="29CC4C1C" w:rsidR="001B7B6A" w:rsidRPr="004C36CD" w:rsidRDefault="001B7B6A" w:rsidP="001B7B6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Utworzenie warstwy analitycznej (raporty Crystal Reports + raporty ERP) dla marż, kosztów i sprzedaży z możliwością drill-down.</w:t>
            </w:r>
          </w:p>
          <w:p w14:paraId="3C1A1F25" w14:textId="77777777" w:rsidR="00051D44" w:rsidRDefault="00051D44" w:rsidP="00051D44">
            <w:pPr>
              <w:spacing w:after="0" w:line="240" w:lineRule="auto"/>
              <w:ind w:left="360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A215275" w14:textId="4F990322" w:rsidR="001B7B6A" w:rsidRPr="004C36CD" w:rsidRDefault="001B7B6A" w:rsidP="001B7B6A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4C36CD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Przygotowanie polityk bezpieczeństwa i dostępu (RBAC/ABAC, maskowanie danych), oraz dokumentacji operacyjnej i technicznej.</w:t>
            </w:r>
          </w:p>
          <w:p w14:paraId="5DB5BD32" w14:textId="1B6539D5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pl-PL"/>
                <w14:ligatures w14:val="none"/>
              </w:rPr>
            </w:pPr>
          </w:p>
        </w:tc>
      </w:tr>
      <w:tr w:rsidR="00554117" w:rsidRPr="00554117" w14:paraId="2D68A942" w14:textId="77777777" w:rsidTr="008C63D9">
        <w:trPr>
          <w:trHeight w:val="300"/>
        </w:trPr>
        <w:tc>
          <w:tcPr>
            <w:tcW w:w="1148" w:type="pct"/>
            <w:gridSpan w:val="2"/>
            <w:vMerge w:val="restart"/>
            <w:shd w:val="clear" w:color="000000" w:fill="D9D9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899" w:type="pct"/>
            <w:gridSpan w:val="2"/>
            <w:shd w:val="clear" w:color="000000" w:fill="D9D9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1953" w:type="pct"/>
            <w:gridSpan w:val="2"/>
            <w:shd w:val="clear" w:color="000000" w:fill="D9D9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8C63D9">
        <w:trPr>
          <w:trHeight w:val="300"/>
        </w:trPr>
        <w:tc>
          <w:tcPr>
            <w:tcW w:w="1148" w:type="pct"/>
            <w:gridSpan w:val="2"/>
            <w:vMerge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899" w:type="pct"/>
            <w:gridSpan w:val="2"/>
            <w:hideMark/>
          </w:tcPr>
          <w:p w14:paraId="53C230DE" w14:textId="77777777" w:rsidR="00554117" w:rsidRPr="001B7B6A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B7B6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953" w:type="pct"/>
            <w:gridSpan w:val="2"/>
            <w:hideMark/>
          </w:tcPr>
          <w:p w14:paraId="5BD98E43" w14:textId="77777777" w:rsidR="00554117" w:rsidRPr="001B7B6A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1B7B6A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554117" w:rsidRPr="00554117" w14:paraId="198A41FE" w14:textId="77777777" w:rsidTr="008C63D9">
        <w:trPr>
          <w:trHeight w:val="450"/>
        </w:trPr>
        <w:tc>
          <w:tcPr>
            <w:tcW w:w="1148" w:type="pct"/>
            <w:gridSpan w:val="2"/>
            <w:vMerge w:val="restart"/>
            <w:shd w:val="clear" w:color="000000" w:fill="F8CBAD"/>
            <w:noWrap/>
            <w:vAlign w:val="center"/>
            <w:hideMark/>
          </w:tcPr>
          <w:p w14:paraId="5BE0BB6F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2" w:type="pct"/>
            <w:gridSpan w:val="4"/>
            <w:vMerge w:val="restart"/>
            <w:hideMark/>
          </w:tcPr>
          <w:p w14:paraId="00ED376A" w14:textId="77777777" w:rsidR="00917E8F" w:rsidRDefault="00055D95" w:rsidP="00055D95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55D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Punktem wyjścia projektu było zaprojektowanie i wdrożenie zintegrowanego, niskolatencyjnego toru wymiany danych między systemem ERP a programem magazynowo-księgowym, który ujednolicił model danych sprzedażowych, zautomatyzował przekaz do księgowości i zwiększył przepustowość procesu wystawiania dokumentów. </w:t>
            </w:r>
          </w:p>
          <w:p w14:paraId="19BE6C01" w14:textId="77777777" w:rsidR="00917E8F" w:rsidRDefault="00917E8F" w:rsidP="00055D95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39424436" w14:textId="6333D3F8" w:rsidR="00917E8F" w:rsidRDefault="00055D95" w:rsidP="00055D95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55D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Rdzeniem rozwiązania stała się warstwa pośrednia (staging/ODS) z procedurami składowanymi i widokami materializowanymi, zasilana przyrostowo (CDC/ELT) i opatrzona mechanizmami idempotencji, deduplikacji, kontroli referencyjnej (MDM kontrahentów/asortymentu) oraz audytowalności. Zdefiniowano kanoniczny schemat sprzedaży (pozycje, ceny, rabaty, atrybuty kosztowe, mapowania VAT i kont K/PK) oraz reguły uzgadniania zapisów FK, a kierownictwu i działowi analiz udostępniono warstwę raportową </w:t>
            </w:r>
            <w:r w:rsidR="00C2695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(</w:t>
            </w:r>
            <w:r w:rsidRPr="00055D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raporty ERP) z możliwością drążenia do poziomu pozycji. </w:t>
            </w:r>
          </w:p>
          <w:p w14:paraId="2942BC1F" w14:textId="77777777" w:rsidR="00917E8F" w:rsidRDefault="00917E8F" w:rsidP="00055D95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6CAFD921" w14:textId="77777777" w:rsidR="00917E8F" w:rsidRDefault="00055D95" w:rsidP="00055D95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55D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 xml:space="preserve">Rozwiązanie spełnia wymagania niefunkcjonalne: SLA opóźnienia przekazu dokumentów do księgowości i raportowania, pełny ślad rewizyjny, RBAC/ABAC i maskowanie danych. Całość została opracowana i skonfigurowana wewnętrznie przez dział IT, z użyciem rozszerzeń ERP oraz dedykowanych tabel pośrednich. </w:t>
            </w:r>
          </w:p>
          <w:p w14:paraId="294D25D3" w14:textId="77777777" w:rsidR="00917E8F" w:rsidRDefault="00917E8F" w:rsidP="00055D95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  <w:p w14:paraId="578367A4" w14:textId="5459D8F6" w:rsidR="00554117" w:rsidRPr="00554117" w:rsidRDefault="00055D95" w:rsidP="002B7BAD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55D95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Efektem jest granularny, terminowy strumień danych sprzedażowo-finansowych, który przyspieszył księgowanie i zamknięcia okresów, ograniczył błędy, a jednocześnie zapewnił natychmiastowy wgląd w sprzedaż, koszty i marżowość na potrzeby decyzyjne.</w:t>
            </w:r>
          </w:p>
        </w:tc>
      </w:tr>
      <w:tr w:rsidR="00554117" w:rsidRPr="00554117" w14:paraId="0ABD5817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8C63D9">
        <w:trPr>
          <w:trHeight w:val="450"/>
        </w:trPr>
        <w:tc>
          <w:tcPr>
            <w:tcW w:w="1148" w:type="pct"/>
            <w:gridSpan w:val="2"/>
            <w:vMerge/>
            <w:vAlign w:val="center"/>
            <w:hideMark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2" w:type="pct"/>
            <w:gridSpan w:val="4"/>
            <w:vMerge/>
            <w:vAlign w:val="center"/>
            <w:hideMark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554117">
        <w:trPr>
          <w:trHeight w:val="300"/>
        </w:trPr>
        <w:tc>
          <w:tcPr>
            <w:tcW w:w="5000" w:type="pct"/>
            <w:gridSpan w:val="6"/>
            <w:shd w:val="clear" w:color="000000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8C63D9">
        <w:trPr>
          <w:trHeight w:val="300"/>
        </w:trPr>
        <w:tc>
          <w:tcPr>
            <w:tcW w:w="410" w:type="pct"/>
            <w:noWrap/>
            <w:vAlign w:val="bottom"/>
            <w:hideMark/>
          </w:tcPr>
          <w:p w14:paraId="69206F0A" w14:textId="77777777" w:rsidR="00554117" w:rsidRPr="00554117" w:rsidRDefault="00554117" w:rsidP="008C6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4590" w:type="pct"/>
            <w:gridSpan w:val="5"/>
            <w:noWrap/>
            <w:vAlign w:val="center"/>
            <w:hideMark/>
          </w:tcPr>
          <w:p w14:paraId="1C50D17D" w14:textId="09E43C80" w:rsidR="00554117" w:rsidRPr="00554117" w:rsidRDefault="001F2018" w:rsidP="001F2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Repozytorium cyfrowe środowiska testowego </w:t>
            </w:r>
            <w:r w:rsidR="00554117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54117" w:rsidRPr="00554117" w14:paraId="614AD025" w14:textId="77777777" w:rsidTr="008C63D9">
        <w:trPr>
          <w:trHeight w:val="288"/>
        </w:trPr>
        <w:tc>
          <w:tcPr>
            <w:tcW w:w="410" w:type="pct"/>
            <w:noWrap/>
            <w:vAlign w:val="bottom"/>
            <w:hideMark/>
          </w:tcPr>
          <w:p w14:paraId="1B7CE622" w14:textId="77777777" w:rsidR="00554117" w:rsidRPr="00554117" w:rsidRDefault="00554117" w:rsidP="008C6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4590" w:type="pct"/>
            <w:gridSpan w:val="5"/>
            <w:noWrap/>
            <w:vAlign w:val="center"/>
            <w:hideMark/>
          </w:tcPr>
          <w:p w14:paraId="219564EB" w14:textId="7F63C5C5" w:rsidR="00554117" w:rsidRPr="00554117" w:rsidRDefault="00DC65BA" w:rsidP="001F20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Instrukcje użytkowe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71AC0"/>
    <w:multiLevelType w:val="multilevel"/>
    <w:tmpl w:val="B6BAA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62561"/>
    <w:multiLevelType w:val="multilevel"/>
    <w:tmpl w:val="837C9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67F8D"/>
    <w:multiLevelType w:val="multilevel"/>
    <w:tmpl w:val="3724C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39736366">
    <w:abstractNumId w:val="1"/>
  </w:num>
  <w:num w:numId="2" w16cid:durableId="1926645898">
    <w:abstractNumId w:val="2"/>
  </w:num>
  <w:num w:numId="3" w16cid:durableId="1992171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51D44"/>
    <w:rsid w:val="00055D95"/>
    <w:rsid w:val="000A2C90"/>
    <w:rsid w:val="000A4DF5"/>
    <w:rsid w:val="00172188"/>
    <w:rsid w:val="001B7B6A"/>
    <w:rsid w:val="001F0174"/>
    <w:rsid w:val="001F2018"/>
    <w:rsid w:val="0024054A"/>
    <w:rsid w:val="002544B2"/>
    <w:rsid w:val="002B3984"/>
    <w:rsid w:val="002B7BAD"/>
    <w:rsid w:val="002E251D"/>
    <w:rsid w:val="002F5FC6"/>
    <w:rsid w:val="003349DD"/>
    <w:rsid w:val="003541E8"/>
    <w:rsid w:val="003D5410"/>
    <w:rsid w:val="004651BF"/>
    <w:rsid w:val="004B60C5"/>
    <w:rsid w:val="004C36CD"/>
    <w:rsid w:val="00554117"/>
    <w:rsid w:val="00556E60"/>
    <w:rsid w:val="005759E2"/>
    <w:rsid w:val="00597ACA"/>
    <w:rsid w:val="005D2636"/>
    <w:rsid w:val="005F4CD8"/>
    <w:rsid w:val="006272E3"/>
    <w:rsid w:val="00650307"/>
    <w:rsid w:val="0078332D"/>
    <w:rsid w:val="007D3F14"/>
    <w:rsid w:val="008427F3"/>
    <w:rsid w:val="008663D9"/>
    <w:rsid w:val="00875979"/>
    <w:rsid w:val="0087799A"/>
    <w:rsid w:val="008B0DD1"/>
    <w:rsid w:val="008C63D9"/>
    <w:rsid w:val="008E656D"/>
    <w:rsid w:val="008E7B72"/>
    <w:rsid w:val="009057A7"/>
    <w:rsid w:val="00917E8F"/>
    <w:rsid w:val="00927FBB"/>
    <w:rsid w:val="00931286"/>
    <w:rsid w:val="0097101C"/>
    <w:rsid w:val="009B1108"/>
    <w:rsid w:val="009C1CA8"/>
    <w:rsid w:val="00A50872"/>
    <w:rsid w:val="00AC0A6C"/>
    <w:rsid w:val="00BC5133"/>
    <w:rsid w:val="00BC751D"/>
    <w:rsid w:val="00C26955"/>
    <w:rsid w:val="00C27C08"/>
    <w:rsid w:val="00C42EDD"/>
    <w:rsid w:val="00C671A7"/>
    <w:rsid w:val="00C81137"/>
    <w:rsid w:val="00D35656"/>
    <w:rsid w:val="00DC65BA"/>
    <w:rsid w:val="00DD106F"/>
    <w:rsid w:val="00E16AE1"/>
    <w:rsid w:val="00E74793"/>
    <w:rsid w:val="00F6335A"/>
    <w:rsid w:val="00FE50F8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75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7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semiHidden/>
    <w:unhideWhenUsed/>
    <w:rsid w:val="004C36CD"/>
    <w:rPr>
      <w:rFonts w:ascii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8C6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1011</Words>
  <Characters>6066</Characters>
  <Application>Microsoft Office Word</Application>
  <DocSecurity>4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2</cp:revision>
  <dcterms:created xsi:type="dcterms:W3CDTF">2025-10-15T09:07:00Z</dcterms:created>
  <dcterms:modified xsi:type="dcterms:W3CDTF">2025-10-15T09:07:00Z</dcterms:modified>
</cp:coreProperties>
</file>