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br/>
        <w:br/>
        <w:t>Project Definition Document</w:t>
      </w:r>
    </w:p>
    <w:p>
      <w:pPr>
        <w:jc w:val="center"/>
      </w:pPr>
      <w:r>
        <w:rPr>
          <w:color w:val="2F2F2F"/>
          <w:sz w:val="28"/>
        </w:rPr>
        <w:t>Personal Finance Dashboard with AI Money Coach</w:t>
      </w:r>
    </w:p>
    <w:p>
      <w:pPr>
        <w:jc w:val="center"/>
      </w:pPr>
      <w:r>
        <w:rPr>
          <w:b/>
          <w:color w:val="1F4E79"/>
          <w:sz w:val="24"/>
        </w:rPr>
        <w:br/>
        <w:t>Personal Finance Dashboard / AI Money Coach</w:t>
      </w:r>
    </w:p>
    <w:p>
      <w:pPr>
        <w:jc w:val="center"/>
      </w:pPr>
      <w:r>
        <w:rPr>
          <w:sz w:val="20"/>
        </w:rPr>
        <w:t>Prepared: 30 June 2026</w:t>
        <w:br/>
        <w:t>Version: 0.1 Draft</w:t>
        <w:br/>
        <w:t>Status: Working Draft</w:t>
      </w:r>
    </w:p>
    <w:p>
      <w:r>
        <w:br w:type="page"/>
      </w:r>
    </w:p>
    <w:p>
      <w:pPr>
        <w:pStyle w:val="Heading1"/>
      </w:pPr>
      <w:r>
        <w:t>Document Control</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12"/>
        <w:gridCol w:w="5112"/>
      </w:tblGrid>
      <w:tr>
        <w:tc>
          <w:tcPr>
            <w:tcW w:type="dxa" w:w="5112"/>
            <w:shd w:fill="1F4E79"/>
            <w:vAlign w:val="top"/>
          </w:tcPr>
          <w:p>
            <w:pPr>
              <w:jc w:val="left"/>
            </w:pPr>
            <w:r/>
            <w:r>
              <w:rPr>
                <w:b/>
                <w:color w:val="FFFFFF"/>
                <w:sz w:val="18"/>
              </w:rPr>
              <w:t>Document</w:t>
            </w:r>
          </w:p>
        </w:tc>
        <w:tc>
          <w:tcPr>
            <w:tcW w:type="dxa" w:w="5112"/>
            <w:vAlign w:val="top"/>
          </w:tcPr>
          <w:p>
            <w:pPr>
              <w:jc w:val="left"/>
            </w:pPr>
            <w:r/>
            <w:r>
              <w:rPr>
                <w:b w:val="0"/>
                <w:sz w:val="18"/>
              </w:rPr>
              <w:t>Project Definition Document</w:t>
            </w:r>
          </w:p>
        </w:tc>
      </w:tr>
      <w:tr>
        <w:tc>
          <w:tcPr>
            <w:tcW w:type="dxa" w:w="5112"/>
            <w:shd w:fill="1F4E79"/>
            <w:vAlign w:val="top"/>
          </w:tcPr>
          <w:p>
            <w:pPr>
              <w:jc w:val="left"/>
            </w:pPr>
            <w:r/>
            <w:r>
              <w:rPr>
                <w:b/>
                <w:color w:val="FFFFFF"/>
                <w:sz w:val="18"/>
              </w:rPr>
              <w:t>Purpose</w:t>
            </w:r>
          </w:p>
        </w:tc>
        <w:tc>
          <w:tcPr>
            <w:tcW w:type="dxa" w:w="5112"/>
            <w:vAlign w:val="top"/>
          </w:tcPr>
          <w:p>
            <w:pPr>
              <w:jc w:val="left"/>
            </w:pPr>
            <w:r/>
            <w:r>
              <w:rPr>
                <w:b w:val="0"/>
                <w:sz w:val="18"/>
              </w:rPr>
              <w:t>Define the delivery, product design and technical architecture for a private AI-enabled personal finance dashboard.</w:t>
            </w:r>
          </w:p>
        </w:tc>
      </w:tr>
      <w:tr>
        <w:tc>
          <w:tcPr>
            <w:tcW w:type="dxa" w:w="5112"/>
            <w:shd w:fill="1F4E79"/>
            <w:vAlign w:val="top"/>
          </w:tcPr>
          <w:p>
            <w:pPr>
              <w:jc w:val="left"/>
            </w:pPr>
            <w:r/>
            <w:r>
              <w:rPr>
                <w:b/>
                <w:color w:val="FFFFFF"/>
                <w:sz w:val="18"/>
              </w:rPr>
              <w:t>Owner</w:t>
            </w:r>
          </w:p>
        </w:tc>
        <w:tc>
          <w:tcPr>
            <w:tcW w:type="dxa" w:w="5112"/>
            <w:vAlign w:val="top"/>
          </w:tcPr>
          <w:p>
            <w:pPr>
              <w:jc w:val="left"/>
            </w:pPr>
            <w:r/>
            <w:r>
              <w:rPr>
                <w:b w:val="0"/>
                <w:sz w:val="18"/>
              </w:rPr>
              <w:t>Product Owner / Builder</w:t>
            </w:r>
          </w:p>
        </w:tc>
      </w:tr>
      <w:tr>
        <w:tc>
          <w:tcPr>
            <w:tcW w:type="dxa" w:w="5112"/>
            <w:shd w:fill="1F4E79"/>
            <w:vAlign w:val="top"/>
          </w:tcPr>
          <w:p>
            <w:pPr>
              <w:jc w:val="left"/>
            </w:pPr>
            <w:r/>
            <w:r>
              <w:rPr>
                <w:b/>
                <w:color w:val="FFFFFF"/>
                <w:sz w:val="18"/>
              </w:rPr>
              <w:t>Version</w:t>
            </w:r>
          </w:p>
        </w:tc>
        <w:tc>
          <w:tcPr>
            <w:tcW w:type="dxa" w:w="5112"/>
            <w:vAlign w:val="top"/>
          </w:tcPr>
          <w:p>
            <w:pPr>
              <w:jc w:val="left"/>
            </w:pPr>
            <w:r/>
            <w:r>
              <w:rPr>
                <w:b w:val="0"/>
                <w:sz w:val="18"/>
              </w:rPr>
              <w:t>0.1 Draft</w:t>
            </w:r>
          </w:p>
        </w:tc>
      </w:tr>
      <w:tr>
        <w:tc>
          <w:tcPr>
            <w:tcW w:type="dxa" w:w="5112"/>
            <w:shd w:fill="1F4E79"/>
            <w:vAlign w:val="top"/>
          </w:tcPr>
          <w:p>
            <w:pPr>
              <w:jc w:val="left"/>
            </w:pPr>
            <w:r/>
            <w:r>
              <w:rPr>
                <w:b/>
                <w:color w:val="FFFFFF"/>
                <w:sz w:val="18"/>
              </w:rPr>
              <w:t>Date</w:t>
            </w:r>
          </w:p>
        </w:tc>
        <w:tc>
          <w:tcPr>
            <w:tcW w:type="dxa" w:w="5112"/>
            <w:vAlign w:val="top"/>
          </w:tcPr>
          <w:p>
            <w:pPr>
              <w:jc w:val="left"/>
            </w:pPr>
            <w:r/>
            <w:r>
              <w:rPr>
                <w:b w:val="0"/>
                <w:sz w:val="18"/>
              </w:rPr>
              <w:t>30 June 2026</w:t>
            </w:r>
          </w:p>
        </w:tc>
      </w:tr>
      <w:tr>
        <w:tc>
          <w:tcPr>
            <w:tcW w:type="dxa" w:w="5112"/>
            <w:shd w:fill="1F4E79"/>
            <w:vAlign w:val="top"/>
          </w:tcPr>
          <w:p>
            <w:pPr>
              <w:jc w:val="left"/>
            </w:pPr>
            <w:r/>
            <w:r>
              <w:rPr>
                <w:b/>
                <w:color w:val="FFFFFF"/>
                <w:sz w:val="18"/>
              </w:rPr>
              <w:t>Audience</w:t>
            </w:r>
          </w:p>
        </w:tc>
        <w:tc>
          <w:tcPr>
            <w:tcW w:type="dxa" w:w="5112"/>
            <w:vAlign w:val="top"/>
          </w:tcPr>
          <w:p>
            <w:pPr>
              <w:jc w:val="left"/>
            </w:pPr>
            <w:r/>
            <w:r>
              <w:rPr>
                <w:b w:val="0"/>
                <w:sz w:val="18"/>
              </w:rPr>
              <w:t>Product owner, developer/Codex, solution architect, security reviewer and future delivery collaborators.</w:t>
            </w:r>
          </w:p>
        </w:tc>
      </w:tr>
    </w:tbl>
    <w:p/>
    <w:p>
      <w:pPr>
        <w:pStyle w:val="Heading2"/>
      </w:pPr>
      <w:r>
        <w:t>Revision History</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56"/>
        <w:gridCol w:w="2556"/>
        <w:gridCol w:w="2556"/>
        <w:gridCol w:w="2556"/>
      </w:tblGrid>
      <w:tr>
        <w:trPr>
          <w:tblHeader w:val="true"/>
        </w:trPr>
        <w:tc>
          <w:tcPr>
            <w:tcW w:type="dxa" w:w="2556"/>
            <w:shd w:fill="1F4E79"/>
            <w:vAlign w:val="top"/>
          </w:tcPr>
          <w:p>
            <w:pPr>
              <w:jc w:val="left"/>
            </w:pPr>
            <w:r/>
            <w:r>
              <w:rPr>
                <w:b/>
                <w:color w:val="FFFFFF"/>
                <w:sz w:val="16"/>
              </w:rPr>
              <w:t>Version</w:t>
            </w:r>
          </w:p>
        </w:tc>
        <w:tc>
          <w:tcPr>
            <w:tcW w:type="dxa" w:w="2556"/>
            <w:shd w:fill="1F4E79"/>
            <w:vAlign w:val="top"/>
          </w:tcPr>
          <w:p>
            <w:pPr>
              <w:jc w:val="left"/>
            </w:pPr>
            <w:r/>
            <w:r>
              <w:rPr>
                <w:b/>
                <w:color w:val="FFFFFF"/>
                <w:sz w:val="16"/>
              </w:rPr>
              <w:t>Date</w:t>
            </w:r>
          </w:p>
        </w:tc>
        <w:tc>
          <w:tcPr>
            <w:tcW w:type="dxa" w:w="2556"/>
            <w:shd w:fill="1F4E79"/>
            <w:vAlign w:val="top"/>
          </w:tcPr>
          <w:p>
            <w:pPr>
              <w:jc w:val="left"/>
            </w:pPr>
            <w:r/>
            <w:r>
              <w:rPr>
                <w:b/>
                <w:color w:val="FFFFFF"/>
                <w:sz w:val="16"/>
              </w:rPr>
              <w:t>Author</w:t>
            </w:r>
          </w:p>
        </w:tc>
        <w:tc>
          <w:tcPr>
            <w:tcW w:type="dxa" w:w="2556"/>
            <w:shd w:fill="1F4E79"/>
            <w:vAlign w:val="top"/>
          </w:tcPr>
          <w:p>
            <w:pPr>
              <w:jc w:val="left"/>
            </w:pPr>
            <w:r/>
            <w:r>
              <w:rPr>
                <w:b/>
                <w:color w:val="FFFFFF"/>
                <w:sz w:val="16"/>
              </w:rPr>
              <w:t>Summary</w:t>
            </w:r>
          </w:p>
        </w:tc>
      </w:tr>
      <w:tr>
        <w:tc>
          <w:tcPr>
            <w:tcW w:type="dxa" w:w="2556"/>
            <w:vAlign w:val="top"/>
          </w:tcPr>
          <w:p>
            <w:pPr>
              <w:jc w:val="left"/>
            </w:pPr>
            <w:r/>
            <w:r>
              <w:rPr>
                <w:b w:val="0"/>
                <w:sz w:val="16"/>
              </w:rPr>
              <w:t>0.1</w:t>
            </w:r>
          </w:p>
        </w:tc>
        <w:tc>
          <w:tcPr>
            <w:tcW w:type="dxa" w:w="2556"/>
            <w:vAlign w:val="top"/>
          </w:tcPr>
          <w:p>
            <w:pPr>
              <w:jc w:val="left"/>
            </w:pPr>
            <w:r/>
            <w:r>
              <w:rPr>
                <w:b w:val="0"/>
                <w:sz w:val="16"/>
              </w:rPr>
              <w:t>30 June 2026</w:t>
            </w:r>
          </w:p>
        </w:tc>
        <w:tc>
          <w:tcPr>
            <w:tcW w:type="dxa" w:w="2556"/>
            <w:vAlign w:val="top"/>
          </w:tcPr>
          <w:p>
            <w:pPr>
              <w:jc w:val="left"/>
            </w:pPr>
            <w:r/>
            <w:r>
              <w:rPr>
                <w:b w:val="0"/>
                <w:sz w:val="16"/>
              </w:rPr>
              <w:t>ChatGPT</w:t>
            </w:r>
          </w:p>
        </w:tc>
        <w:tc>
          <w:tcPr>
            <w:tcW w:type="dxa" w:w="2556"/>
            <w:vAlign w:val="top"/>
          </w:tcPr>
          <w:p>
            <w:pPr>
              <w:jc w:val="left"/>
            </w:pPr>
            <w:r/>
            <w:r>
              <w:rPr>
                <w:b w:val="0"/>
                <w:sz w:val="16"/>
              </w:rPr>
              <w:t>Initial structured draft for review and iteration.</w:t>
            </w:r>
          </w:p>
        </w:tc>
      </w:tr>
    </w:tbl>
    <w:p/>
    <w:p>
      <w:pPr>
        <w:pStyle w:val="Heading1"/>
      </w:pPr>
      <w:r>
        <w:t>Contents</w:t>
      </w:r>
    </w:p>
    <w:p>
      <w:pPr>
        <w:spacing w:after="0" w:before="0" w:line="216" w:lineRule="auto"/>
        <w:ind w:left="0"/>
      </w:pPr>
      <w:r>
        <w:rPr>
          <w:sz w:val="16"/>
        </w:rPr>
        <w:t>1. Executive Summary</w:t>
      </w:r>
    </w:p>
    <w:p>
      <w:pPr>
        <w:spacing w:after="0" w:before="0" w:line="216" w:lineRule="auto"/>
        <w:ind w:left="0"/>
      </w:pPr>
      <w:r>
        <w:rPr>
          <w:sz w:val="16"/>
        </w:rPr>
        <w:t>2. Vision and Objectives</w:t>
      </w:r>
    </w:p>
    <w:p>
      <w:pPr>
        <w:spacing w:after="0" w:before="0" w:line="216" w:lineRule="auto"/>
        <w:ind w:left="0"/>
      </w:pPr>
      <w:r>
        <w:rPr>
          <w:sz w:val="16"/>
        </w:rPr>
        <w:t>3. Scope</w:t>
      </w:r>
    </w:p>
    <w:p>
      <w:pPr>
        <w:spacing w:after="0" w:before="0" w:line="216" w:lineRule="auto"/>
        <w:ind w:left="0"/>
      </w:pPr>
      <w:r>
        <w:rPr>
          <w:sz w:val="16"/>
        </w:rPr>
        <w:t>4. Stakeholders and Roles</w:t>
      </w:r>
    </w:p>
    <w:p>
      <w:pPr>
        <w:spacing w:after="0" w:before="0" w:line="216" w:lineRule="auto"/>
        <w:ind w:left="0"/>
      </w:pPr>
      <w:r>
        <w:rPr>
          <w:sz w:val="16"/>
        </w:rPr>
        <w:t>5. Delivery Approach</w:t>
      </w:r>
    </w:p>
    <w:p>
      <w:pPr>
        <w:spacing w:after="0" w:before="0" w:line="216" w:lineRule="auto"/>
        <w:ind w:left="0"/>
      </w:pPr>
      <w:r>
        <w:rPr>
          <w:sz w:val="16"/>
        </w:rPr>
        <w:t>6. Roadmap and Milestones</w:t>
      </w:r>
    </w:p>
    <w:p>
      <w:pPr>
        <w:spacing w:after="0" w:before="0" w:line="216" w:lineRule="auto"/>
        <w:ind w:left="0"/>
      </w:pPr>
      <w:r>
        <w:rPr>
          <w:sz w:val="16"/>
        </w:rPr>
        <w:t>7. MVP Backlog</w:t>
      </w:r>
    </w:p>
    <w:p>
      <w:pPr>
        <w:spacing w:after="0" w:before="0" w:line="216" w:lineRule="auto"/>
        <w:ind w:left="0"/>
      </w:pPr>
      <w:r>
        <w:rPr>
          <w:sz w:val="16"/>
        </w:rPr>
        <w:t>8. Governance and Ways of Working</w:t>
      </w:r>
    </w:p>
    <w:p>
      <w:pPr>
        <w:spacing w:after="0" w:before="0" w:line="216" w:lineRule="auto"/>
        <w:ind w:left="0"/>
      </w:pPr>
      <w:r>
        <w:rPr>
          <w:sz w:val="16"/>
        </w:rPr>
        <w:t>9. Quality and Testing Strategy</w:t>
      </w:r>
    </w:p>
    <w:p>
      <w:pPr>
        <w:spacing w:after="0" w:before="0" w:line="216" w:lineRule="auto"/>
        <w:ind w:left="0"/>
      </w:pPr>
      <w:r>
        <w:rPr>
          <w:sz w:val="16"/>
        </w:rPr>
        <w:t>10. Risks, Assumptions, Issues and Dependencies</w:t>
      </w:r>
    </w:p>
    <w:p>
      <w:pPr>
        <w:spacing w:after="0" w:before="0" w:line="216" w:lineRule="auto"/>
        <w:ind w:left="0"/>
      </w:pPr>
      <w:r>
        <w:rPr>
          <w:sz w:val="16"/>
        </w:rPr>
        <w:t>11. Success Measures</w:t>
      </w:r>
    </w:p>
    <w:p>
      <w:pPr>
        <w:spacing w:after="0" w:before="0" w:line="216" w:lineRule="auto"/>
        <w:ind w:left="0"/>
      </w:pPr>
      <w:r>
        <w:rPr>
          <w:sz w:val="16"/>
        </w:rPr>
        <w:t>12. MVP Acceptance Criteria</w:t>
      </w:r>
    </w:p>
    <w:p>
      <w:pPr>
        <w:spacing w:after="0" w:before="0" w:line="216" w:lineRule="auto"/>
        <w:ind w:left="0"/>
      </w:pPr>
      <w:r>
        <w:rPr>
          <w:sz w:val="16"/>
        </w:rPr>
        <w:t>Appendix: Source References</w:t>
      </w:r>
    </w:p>
    <w:p>
      <w:r>
        <w:br w:type="page"/>
      </w:r>
    </w:p>
    <w:p>
      <w:pPr>
        <w:pStyle w:val="Heading1"/>
      </w:pPr>
      <w:r>
        <w:t>1. Executive Summary</w:t>
      </w:r>
    </w:p>
    <w:p>
      <w:r>
        <w:t>This project will deliver a private web-based personal finance dashboard that combines structured budgeting, cashflow forecasting, bill/subscription monitoring, savings goals and an embedded AI money coach. The product will start with manual CSV import to prove the experience, then move to consent-based UK Open Banking integrations once the data model, rules engine and user experience are stable.</w:t>
      </w:r>
    </w:p>
    <w:p>
      <w:r>
        <w:t>The long-term product ambition is a calm, practical financial operating system: a single place to understand current cash, upcoming commitments, realistic safe-to-spend, budget health, savings progress and financial risks. The AI layer will explain and summarise data, run scenarios and suggest actions, while deterministic backend services perform calculations and retain the auditable system of record.</w:t>
      </w:r>
    </w:p>
    <w:tbl>
      <w:tblPr>
        <w:tblW w:type="auto" w:w="0"/>
        <w:tblLook w:firstColumn="1" w:firstRow="1" w:lastColumn="0" w:lastRow="0" w:noHBand="0" w:noVBand="1" w:val="04A0"/>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Pr>
      <w:tblGrid>
        <w:gridCol w:w="10224"/>
      </w:tblGrid>
      <w:tr>
        <w:tc>
          <w:tcPr>
            <w:tcW w:type="dxa" w:w="10224"/>
            <w:shd w:fill="D9EAF7"/>
          </w:tcPr>
          <w:p>
            <w:r/>
            <w:r>
              <w:rPr>
                <w:b/>
                <w:color w:val="1F4E79"/>
                <w:sz w:val="18"/>
              </w:rPr>
              <w:t>Core delivery principle</w:t>
            </w:r>
          </w:p>
          <w:p>
            <w:r>
              <w:rPr>
                <w:sz w:val="18"/>
              </w:rPr>
              <w:t>Build the trusted financial ledger and calculations first. Use AI for explanation, coaching, categorisation support and scenario narration. Keep payments, provider changes, investment choices and regulated financial decisions approval-led.</w:t>
            </w:r>
          </w:p>
        </w:tc>
      </w:tr>
    </w:tbl>
    <w:p/>
    <w:p>
      <w:pPr>
        <w:pStyle w:val="Heading1"/>
      </w:pPr>
      <w:r>
        <w:t>2. Vision and Objectives</w:t>
      </w:r>
    </w:p>
    <w:p>
      <w:r>
        <w:t>The product vision is to create a personal finance cockpit that answers three recurring questions quickly and accurately:</w:t>
      </w:r>
    </w:p>
    <w:p>
      <w:pPr>
        <w:pStyle w:val="ListBullet"/>
      </w:pPr>
      <w:r>
        <w:t>How much can I safely spend now without risking bills, savings or debt commitments?</w:t>
      </w:r>
    </w:p>
    <w:p>
      <w:pPr>
        <w:pStyle w:val="ListBullet"/>
      </w:pPr>
      <w:r>
        <w:t>What changed in my finances this week or month?</w:t>
      </w:r>
    </w:p>
    <w:p>
      <w:pPr>
        <w:pStyle w:val="ListBullet"/>
      </w:pPr>
      <w:r>
        <w:t>What practical next action would improve my position?</w:t>
      </w:r>
    </w:p>
    <w:p>
      <w:pPr>
        <w:pStyle w:val="Heading2"/>
      </w:pPr>
      <w:r>
        <w:t>2.1 Objectives</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12"/>
        <w:gridCol w:w="5112"/>
      </w:tblGrid>
      <w:tr>
        <w:trPr>
          <w:tblHeader w:val="true"/>
        </w:trPr>
        <w:tc>
          <w:tcPr>
            <w:tcW w:type="dxa" w:w="5112"/>
            <w:shd w:fill="1F4E79"/>
            <w:vAlign w:val="top"/>
          </w:tcPr>
          <w:p>
            <w:pPr>
              <w:jc w:val="left"/>
            </w:pPr>
            <w:r/>
            <w:r>
              <w:rPr>
                <w:b/>
                <w:color w:val="FFFFFF"/>
                <w:sz w:val="16"/>
              </w:rPr>
              <w:t>ID</w:t>
            </w:r>
          </w:p>
        </w:tc>
        <w:tc>
          <w:tcPr>
            <w:tcW w:type="dxa" w:w="5112"/>
            <w:shd w:fill="1F4E79"/>
            <w:vAlign w:val="top"/>
          </w:tcPr>
          <w:p>
            <w:pPr>
              <w:jc w:val="left"/>
            </w:pPr>
            <w:r/>
            <w:r>
              <w:rPr>
                <w:b/>
                <w:color w:val="FFFFFF"/>
                <w:sz w:val="16"/>
              </w:rPr>
              <w:t>Objective</w:t>
            </w:r>
          </w:p>
        </w:tc>
      </w:tr>
      <w:tr>
        <w:tc>
          <w:tcPr>
            <w:tcW w:type="dxa" w:w="5112"/>
            <w:vAlign w:val="top"/>
          </w:tcPr>
          <w:p>
            <w:pPr>
              <w:jc w:val="left"/>
            </w:pPr>
            <w:r/>
            <w:r>
              <w:rPr>
                <w:b w:val="0"/>
                <w:sz w:val="16"/>
              </w:rPr>
              <w:t>OBJ-01</w:t>
            </w:r>
          </w:p>
        </w:tc>
        <w:tc>
          <w:tcPr>
            <w:tcW w:type="dxa" w:w="5112"/>
            <w:vAlign w:val="top"/>
          </w:tcPr>
          <w:p>
            <w:pPr>
              <w:jc w:val="left"/>
            </w:pPr>
            <w:r/>
            <w:r>
              <w:rPr>
                <w:b w:val="0"/>
                <w:sz w:val="16"/>
              </w:rPr>
              <w:t>Create a web dashboard that consolidates accounts, transactions, budgets, bills, goals and insights.</w:t>
            </w:r>
          </w:p>
        </w:tc>
      </w:tr>
      <w:tr>
        <w:tc>
          <w:tcPr>
            <w:tcW w:type="dxa" w:w="5112"/>
            <w:vAlign w:val="top"/>
          </w:tcPr>
          <w:p>
            <w:pPr>
              <w:jc w:val="left"/>
            </w:pPr>
            <w:r/>
            <w:r>
              <w:rPr>
                <w:b w:val="0"/>
                <w:sz w:val="16"/>
              </w:rPr>
              <w:t>OBJ-02</w:t>
            </w:r>
          </w:p>
        </w:tc>
        <w:tc>
          <w:tcPr>
            <w:tcW w:type="dxa" w:w="5112"/>
            <w:vAlign w:val="top"/>
          </w:tcPr>
          <w:p>
            <w:pPr>
              <w:jc w:val="left"/>
            </w:pPr>
            <w:r/>
            <w:r>
              <w:rPr>
                <w:b w:val="0"/>
                <w:sz w:val="16"/>
              </w:rPr>
              <w:t>Implement a safe-to-spend calculation that factors current cash, pending bills, committed spend, savings goals and minimum buffer.</w:t>
            </w:r>
          </w:p>
        </w:tc>
      </w:tr>
      <w:tr>
        <w:tc>
          <w:tcPr>
            <w:tcW w:type="dxa" w:w="5112"/>
            <w:vAlign w:val="top"/>
          </w:tcPr>
          <w:p>
            <w:pPr>
              <w:jc w:val="left"/>
            </w:pPr>
            <w:r/>
            <w:r>
              <w:rPr>
                <w:b w:val="0"/>
                <w:sz w:val="16"/>
              </w:rPr>
              <w:t>OBJ-03</w:t>
            </w:r>
          </w:p>
        </w:tc>
        <w:tc>
          <w:tcPr>
            <w:tcW w:type="dxa" w:w="5112"/>
            <w:vAlign w:val="top"/>
          </w:tcPr>
          <w:p>
            <w:pPr>
              <w:jc w:val="left"/>
            </w:pPr>
            <w:r/>
            <w:r>
              <w:rPr>
                <w:b w:val="0"/>
                <w:sz w:val="16"/>
              </w:rPr>
              <w:t>Provide a weekly and monthly AI-generated financial review grounded in transaction and budget data.</w:t>
            </w:r>
          </w:p>
        </w:tc>
      </w:tr>
      <w:tr>
        <w:tc>
          <w:tcPr>
            <w:tcW w:type="dxa" w:w="5112"/>
            <w:vAlign w:val="top"/>
          </w:tcPr>
          <w:p>
            <w:pPr>
              <w:jc w:val="left"/>
            </w:pPr>
            <w:r/>
            <w:r>
              <w:rPr>
                <w:b w:val="0"/>
                <w:sz w:val="16"/>
              </w:rPr>
              <w:t>OBJ-04</w:t>
            </w:r>
          </w:p>
        </w:tc>
        <w:tc>
          <w:tcPr>
            <w:tcW w:type="dxa" w:w="5112"/>
            <w:vAlign w:val="top"/>
          </w:tcPr>
          <w:p>
            <w:pPr>
              <w:jc w:val="left"/>
            </w:pPr>
            <w:r/>
            <w:r>
              <w:rPr>
                <w:b w:val="0"/>
                <w:sz w:val="16"/>
              </w:rPr>
              <w:t>Detect recurring bills, subscriptions, price changes, duplicate payments and unusual spending.</w:t>
            </w:r>
          </w:p>
        </w:tc>
      </w:tr>
      <w:tr>
        <w:tc>
          <w:tcPr>
            <w:tcW w:type="dxa" w:w="5112"/>
            <w:vAlign w:val="top"/>
          </w:tcPr>
          <w:p>
            <w:pPr>
              <w:jc w:val="left"/>
            </w:pPr>
            <w:r/>
            <w:r>
              <w:rPr>
                <w:b w:val="0"/>
                <w:sz w:val="16"/>
              </w:rPr>
              <w:t>OBJ-05</w:t>
            </w:r>
          </w:p>
        </w:tc>
        <w:tc>
          <w:tcPr>
            <w:tcW w:type="dxa" w:w="5112"/>
            <w:vAlign w:val="top"/>
          </w:tcPr>
          <w:p>
            <w:pPr>
              <w:jc w:val="left"/>
            </w:pPr>
            <w:r/>
            <w:r>
              <w:rPr>
                <w:b w:val="0"/>
                <w:sz w:val="16"/>
              </w:rPr>
              <w:t>Support affordability scenarios for planned purchases, holidays and savings goals.</w:t>
            </w:r>
          </w:p>
        </w:tc>
      </w:tr>
      <w:tr>
        <w:tc>
          <w:tcPr>
            <w:tcW w:type="dxa" w:w="5112"/>
            <w:vAlign w:val="top"/>
          </w:tcPr>
          <w:p>
            <w:pPr>
              <w:jc w:val="left"/>
            </w:pPr>
            <w:r/>
            <w:r>
              <w:rPr>
                <w:b w:val="0"/>
                <w:sz w:val="16"/>
              </w:rPr>
              <w:t>OBJ-06</w:t>
            </w:r>
          </w:p>
        </w:tc>
        <w:tc>
          <w:tcPr>
            <w:tcW w:type="dxa" w:w="5112"/>
            <w:vAlign w:val="top"/>
          </w:tcPr>
          <w:p>
            <w:pPr>
              <w:jc w:val="left"/>
            </w:pPr>
            <w:r/>
            <w:r>
              <w:rPr>
                <w:b w:val="0"/>
                <w:sz w:val="16"/>
              </w:rPr>
              <w:t>Prepare the architecture for UK Open Banking providers such as Plaid, TrueLayer, Tink or Moneyhub.</w:t>
            </w:r>
          </w:p>
        </w:tc>
      </w:tr>
      <w:tr>
        <w:tc>
          <w:tcPr>
            <w:tcW w:type="dxa" w:w="5112"/>
            <w:vAlign w:val="top"/>
          </w:tcPr>
          <w:p>
            <w:pPr>
              <w:jc w:val="left"/>
            </w:pPr>
            <w:r/>
            <w:r>
              <w:rPr>
                <w:b w:val="0"/>
                <w:sz w:val="16"/>
              </w:rPr>
              <w:t>OBJ-07</w:t>
            </w:r>
          </w:p>
        </w:tc>
        <w:tc>
          <w:tcPr>
            <w:tcW w:type="dxa" w:w="5112"/>
            <w:vAlign w:val="top"/>
          </w:tcPr>
          <w:p>
            <w:pPr>
              <w:jc w:val="left"/>
            </w:pPr>
            <w:r/>
            <w:r>
              <w:rPr>
                <w:b w:val="0"/>
                <w:sz w:val="16"/>
              </w:rPr>
              <w:t>Embed privacy, auditability and human approval controls from the first release.</w:t>
            </w:r>
          </w:p>
        </w:tc>
      </w:tr>
    </w:tbl>
    <w:p/>
    <w:p>
      <w:pPr>
        <w:pStyle w:val="Heading2"/>
      </w:pPr>
      <w:r>
        <w:t>2.2 Desired Outcomes</w:t>
      </w:r>
    </w:p>
    <w:p>
      <w:pPr>
        <w:pStyle w:val="ListBullet"/>
      </w:pPr>
      <w:r>
        <w:t>A clear daily financial position in under 30 seconds.</w:t>
      </w:r>
    </w:p>
    <w:p>
      <w:pPr>
        <w:pStyle w:val="ListBullet"/>
      </w:pPr>
      <w:r>
        <w:t>Reduced surprise from bills, renewals and subscriptions.</w:t>
      </w:r>
    </w:p>
    <w:p>
      <w:pPr>
        <w:pStyle w:val="ListBullet"/>
      </w:pPr>
      <w:r>
        <w:t>A repeatable payday allocation process.</w:t>
      </w:r>
    </w:p>
    <w:p>
      <w:pPr>
        <w:pStyle w:val="ListBullet"/>
      </w:pPr>
      <w:r>
        <w:t>A living view of emergency fund, savings goals, debt repayment and net worth.</w:t>
      </w:r>
    </w:p>
    <w:p>
      <w:pPr>
        <w:pStyle w:val="ListBullet"/>
      </w:pPr>
      <w:r>
        <w:t>A practical AI coach that explains the numbers and proposes small, realistic actions.</w:t>
      </w:r>
    </w:p>
    <w:p>
      <w:pPr>
        <w:pStyle w:val="Heading1"/>
      </w:pPr>
      <w:r>
        <w:t>3. Scope</w:t>
      </w:r>
    </w:p>
    <w:p>
      <w:pPr>
        <w:pStyle w:val="Heading2"/>
      </w:pPr>
      <w:r>
        <w:t>3.1 MVP Scope</w:t>
      </w:r>
    </w:p>
    <w:p>
      <w:pPr>
        <w:pStyle w:val="ListBullet"/>
      </w:pPr>
      <w:r>
        <w:t>Responsive web dashboard using manual CSV imports for bank and credit-card transactions.</w:t>
      </w:r>
    </w:p>
    <w:p>
      <w:pPr>
        <w:pStyle w:val="ListBullet"/>
      </w:pPr>
      <w:r>
        <w:t>Core database for accounts, transactions, categories, budgets, bills, subscriptions, goals, debts and AI insights.</w:t>
      </w:r>
    </w:p>
    <w:p>
      <w:pPr>
        <w:pStyle w:val="ListBullet"/>
      </w:pPr>
      <w:r>
        <w:t>Transaction categorisation using a blend of merchant rules and AI-assisted suggestions.</w:t>
      </w:r>
    </w:p>
    <w:p>
      <w:pPr>
        <w:pStyle w:val="ListBullet"/>
      </w:pPr>
      <w:r>
        <w:t>Overview dashboard with current cash, safe-to-spend, budget health, upcoming bills and recent alerts.</w:t>
      </w:r>
    </w:p>
    <w:p>
      <w:pPr>
        <w:pStyle w:val="ListBullet"/>
      </w:pPr>
      <w:r>
        <w:t>Transactions page with search, filters, category editing and review status.</w:t>
      </w:r>
    </w:p>
    <w:p>
      <w:pPr>
        <w:pStyle w:val="ListBullet"/>
      </w:pPr>
      <w:r>
        <w:t>Budgets page with monthly category budgets, spend, remaining balance and projected overspend.</w:t>
      </w:r>
    </w:p>
    <w:p>
      <w:pPr>
        <w:pStyle w:val="ListBullet"/>
      </w:pPr>
      <w:r>
        <w:t>Bills and subscriptions page with recurring payment detection and price-change flags.</w:t>
      </w:r>
    </w:p>
    <w:p>
      <w:pPr>
        <w:pStyle w:val="ListBullet"/>
      </w:pPr>
      <w:r>
        <w:t>Savings goals page with target amount, target date, monthly contribution and progress.</w:t>
      </w:r>
    </w:p>
    <w:p>
      <w:pPr>
        <w:pStyle w:val="ListBullet"/>
      </w:pPr>
      <w:r>
        <w:t>AI Money Coach page and side panel for grounded summaries and affordability questions.</w:t>
      </w:r>
    </w:p>
    <w:p>
      <w:pPr>
        <w:pStyle w:val="ListBullet"/>
      </w:pPr>
      <w:r>
        <w:t>Basic authentication, user settings, audit log and exportable monthly report.</w:t>
      </w:r>
    </w:p>
    <w:p>
      <w:pPr>
        <w:pStyle w:val="Heading2"/>
      </w:pPr>
      <w:r>
        <w:t>3.2 Future Scope</w:t>
      </w:r>
    </w:p>
    <w:p>
      <w:pPr>
        <w:pStyle w:val="ListBullet"/>
      </w:pPr>
      <w:r>
        <w:t>UK Open Banking integration with transaction sync, balance sync and webhook/event refreshes.</w:t>
      </w:r>
    </w:p>
    <w:p>
      <w:pPr>
        <w:pStyle w:val="ListBullet"/>
      </w:pPr>
      <w:r>
        <w:t>Cashflow calendar with projected daily balance.</w:t>
      </w:r>
    </w:p>
    <w:p>
      <w:pPr>
        <w:pStyle w:val="ListBullet"/>
      </w:pPr>
      <w:r>
        <w:t>Debt payoff planner with snowball/avalanche scenarios.</w:t>
      </w:r>
    </w:p>
    <w:p>
      <w:pPr>
        <w:pStyle w:val="ListBullet"/>
      </w:pPr>
      <w:r>
        <w:t>Net worth dashboard including manual assets, pensions and investment balances.</w:t>
      </w:r>
    </w:p>
    <w:p>
      <w:pPr>
        <w:pStyle w:val="ListBullet"/>
      </w:pPr>
      <w:r>
        <w:t>Automated daily, weekly, monthly and payday briefings.</w:t>
      </w:r>
    </w:p>
    <w:p>
      <w:pPr>
        <w:pStyle w:val="ListBullet"/>
      </w:pPr>
      <w:r>
        <w:t>Mobile PWA, notification centre, dark mode and household/shared finance mode.</w:t>
      </w:r>
    </w:p>
    <w:p>
      <w:pPr>
        <w:pStyle w:val="ListBullet"/>
      </w:pPr>
      <w:r>
        <w:t>Provider actions requiring explicit confirmation, such as drafting cancellation emails or creating budget rules.</w:t>
      </w:r>
    </w:p>
    <w:p>
      <w:pPr>
        <w:pStyle w:val="Heading2"/>
      </w:pPr>
      <w:r>
        <w:t>3.3 MVP Boundaries</w:t>
      </w:r>
    </w:p>
    <w:p>
      <w:pPr>
        <w:pStyle w:val="ListBullet"/>
      </w:pPr>
      <w:r>
        <w:t>No automated payments in MVP.</w:t>
      </w:r>
    </w:p>
    <w:p>
      <w:pPr>
        <w:pStyle w:val="ListBullet"/>
      </w:pPr>
      <w:r>
        <w:t>No automated investment recommendations, pension transfer guidance, mortgage recommendation or tax filing advice.</w:t>
      </w:r>
    </w:p>
    <w:p>
      <w:pPr>
        <w:pStyle w:val="ListBullet"/>
      </w:pPr>
      <w:r>
        <w:t>No storage of bank passwords, card numbers, security answers or full account credentials.</w:t>
      </w:r>
    </w:p>
    <w:p>
      <w:pPr>
        <w:pStyle w:val="ListBullet"/>
      </w:pPr>
      <w:r>
        <w:t>No public multi-user product launch until regulatory, privacy, security and provider-contract implications are reviewed.</w:t>
      </w:r>
    </w:p>
    <w:p>
      <w:pPr>
        <w:pStyle w:val="Heading1"/>
      </w:pPr>
      <w:r>
        <w:t>4. Stakeholders and Roles</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12"/>
        <w:gridCol w:w="5112"/>
      </w:tblGrid>
      <w:tr>
        <w:trPr>
          <w:tblHeader w:val="true"/>
        </w:trPr>
        <w:tc>
          <w:tcPr>
            <w:tcW w:type="dxa" w:w="5112"/>
            <w:shd w:fill="1F4E79"/>
            <w:vAlign w:val="top"/>
          </w:tcPr>
          <w:p>
            <w:pPr>
              <w:jc w:val="left"/>
            </w:pPr>
            <w:r/>
            <w:r>
              <w:rPr>
                <w:b/>
                <w:color w:val="FFFFFF"/>
                <w:sz w:val="16"/>
              </w:rPr>
              <w:t>Role</w:t>
            </w:r>
          </w:p>
        </w:tc>
        <w:tc>
          <w:tcPr>
            <w:tcW w:type="dxa" w:w="5112"/>
            <w:shd w:fill="1F4E79"/>
            <w:vAlign w:val="top"/>
          </w:tcPr>
          <w:p>
            <w:pPr>
              <w:jc w:val="left"/>
            </w:pPr>
            <w:r/>
            <w:r>
              <w:rPr>
                <w:b/>
                <w:color w:val="FFFFFF"/>
                <w:sz w:val="16"/>
              </w:rPr>
              <w:t>Responsibilities</w:t>
            </w:r>
          </w:p>
        </w:tc>
      </w:tr>
      <w:tr>
        <w:tc>
          <w:tcPr>
            <w:tcW w:type="dxa" w:w="5112"/>
            <w:vAlign w:val="top"/>
          </w:tcPr>
          <w:p>
            <w:pPr>
              <w:jc w:val="left"/>
            </w:pPr>
            <w:r/>
            <w:r>
              <w:rPr>
                <w:b w:val="0"/>
                <w:sz w:val="16"/>
              </w:rPr>
              <w:t>Product Owner</w:t>
            </w:r>
          </w:p>
        </w:tc>
        <w:tc>
          <w:tcPr>
            <w:tcW w:type="dxa" w:w="5112"/>
            <w:vAlign w:val="top"/>
          </w:tcPr>
          <w:p>
            <w:pPr>
              <w:jc w:val="left"/>
            </w:pPr>
            <w:r/>
            <w:r>
              <w:rPr>
                <w:b w:val="0"/>
                <w:sz w:val="16"/>
              </w:rPr>
              <w:t>Defines priorities, validates user journeys and approves release scope.</w:t>
            </w:r>
          </w:p>
        </w:tc>
      </w:tr>
      <w:tr>
        <w:tc>
          <w:tcPr>
            <w:tcW w:type="dxa" w:w="5112"/>
            <w:vAlign w:val="top"/>
          </w:tcPr>
          <w:p>
            <w:pPr>
              <w:jc w:val="left"/>
            </w:pPr>
            <w:r/>
            <w:r>
              <w:rPr>
                <w:b w:val="0"/>
                <w:sz w:val="16"/>
              </w:rPr>
              <w:t>Builder / Developer</w:t>
            </w:r>
          </w:p>
        </w:tc>
        <w:tc>
          <w:tcPr>
            <w:tcW w:type="dxa" w:w="5112"/>
            <w:vAlign w:val="top"/>
          </w:tcPr>
          <w:p>
            <w:pPr>
              <w:jc w:val="left"/>
            </w:pPr>
            <w:r/>
            <w:r>
              <w:rPr>
                <w:b w:val="0"/>
                <w:sz w:val="16"/>
              </w:rPr>
              <w:t>Builds dashboard, backend, data model, integrations and test suite.</w:t>
            </w:r>
          </w:p>
        </w:tc>
      </w:tr>
      <w:tr>
        <w:tc>
          <w:tcPr>
            <w:tcW w:type="dxa" w:w="5112"/>
            <w:vAlign w:val="top"/>
          </w:tcPr>
          <w:p>
            <w:pPr>
              <w:jc w:val="left"/>
            </w:pPr>
            <w:r/>
            <w:r>
              <w:rPr>
                <w:b w:val="0"/>
                <w:sz w:val="16"/>
              </w:rPr>
              <w:t>AI / Prompt Designer</w:t>
            </w:r>
          </w:p>
        </w:tc>
        <w:tc>
          <w:tcPr>
            <w:tcW w:type="dxa" w:w="5112"/>
            <w:vAlign w:val="top"/>
          </w:tcPr>
          <w:p>
            <w:pPr>
              <w:jc w:val="left"/>
            </w:pPr>
            <w:r/>
            <w:r>
              <w:rPr>
                <w:b w:val="0"/>
                <w:sz w:val="16"/>
              </w:rPr>
              <w:t>Designs AI coach behaviours, tool contracts, prompts, refusal boundaries and evaluation tests.</w:t>
            </w:r>
          </w:p>
        </w:tc>
      </w:tr>
      <w:tr>
        <w:tc>
          <w:tcPr>
            <w:tcW w:type="dxa" w:w="5112"/>
            <w:vAlign w:val="top"/>
          </w:tcPr>
          <w:p>
            <w:pPr>
              <w:jc w:val="left"/>
            </w:pPr>
            <w:r/>
            <w:r>
              <w:rPr>
                <w:b w:val="0"/>
                <w:sz w:val="16"/>
              </w:rPr>
              <w:t>Security Reviewer</w:t>
            </w:r>
          </w:p>
        </w:tc>
        <w:tc>
          <w:tcPr>
            <w:tcW w:type="dxa" w:w="5112"/>
            <w:vAlign w:val="top"/>
          </w:tcPr>
          <w:p>
            <w:pPr>
              <w:jc w:val="left"/>
            </w:pPr>
            <w:r/>
            <w:r>
              <w:rPr>
                <w:b w:val="0"/>
                <w:sz w:val="16"/>
              </w:rPr>
              <w:t>Reviews authentication, encryption, secrets, logs, Open Banking token handling and data minimisation.</w:t>
            </w:r>
          </w:p>
        </w:tc>
      </w:tr>
      <w:tr>
        <w:tc>
          <w:tcPr>
            <w:tcW w:type="dxa" w:w="5112"/>
            <w:vAlign w:val="top"/>
          </w:tcPr>
          <w:p>
            <w:pPr>
              <w:jc w:val="left"/>
            </w:pPr>
            <w:r/>
            <w:r>
              <w:rPr>
                <w:b w:val="0"/>
                <w:sz w:val="16"/>
              </w:rPr>
              <w:t>Finance / Regulatory Reviewer</w:t>
            </w:r>
          </w:p>
        </w:tc>
        <w:tc>
          <w:tcPr>
            <w:tcW w:type="dxa" w:w="5112"/>
            <w:vAlign w:val="top"/>
          </w:tcPr>
          <w:p>
            <w:pPr>
              <w:jc w:val="left"/>
            </w:pPr>
            <w:r/>
            <w:r>
              <w:rPr>
                <w:b w:val="0"/>
                <w:sz w:val="16"/>
              </w:rPr>
              <w:t>Reviews regulated advice boundaries, Open Banking provider model and customer-facing disclaimers if productised.</w:t>
            </w:r>
          </w:p>
        </w:tc>
      </w:tr>
      <w:tr>
        <w:tc>
          <w:tcPr>
            <w:tcW w:type="dxa" w:w="5112"/>
            <w:vAlign w:val="top"/>
          </w:tcPr>
          <w:p>
            <w:pPr>
              <w:jc w:val="left"/>
            </w:pPr>
            <w:r/>
            <w:r>
              <w:rPr>
                <w:b w:val="0"/>
                <w:sz w:val="16"/>
              </w:rPr>
              <w:t>End User</w:t>
            </w:r>
          </w:p>
        </w:tc>
        <w:tc>
          <w:tcPr>
            <w:tcW w:type="dxa" w:w="5112"/>
            <w:vAlign w:val="top"/>
          </w:tcPr>
          <w:p>
            <w:pPr>
              <w:jc w:val="left"/>
            </w:pPr>
            <w:r/>
            <w:r>
              <w:rPr>
                <w:b w:val="0"/>
                <w:sz w:val="16"/>
              </w:rPr>
              <w:t>Connects data, reviews insights, confirms actions and owns financial decisions.</w:t>
            </w:r>
          </w:p>
        </w:tc>
      </w:tr>
    </w:tbl>
    <w:p/>
    <w:p>
      <w:pPr>
        <w:pStyle w:val="Heading1"/>
      </w:pPr>
      <w:r>
        <w:t>5. Delivery Approach</w:t>
      </w:r>
    </w:p>
    <w:p>
      <w:r>
        <w:t>Delivery should use short iterative increments with working software at the end of each phase. Each phase should include requirements refinement, build, test, security review, product review and documented decisions.</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12"/>
        <w:gridCol w:w="5112"/>
      </w:tblGrid>
      <w:tr>
        <w:trPr>
          <w:tblHeader w:val="true"/>
        </w:trPr>
        <w:tc>
          <w:tcPr>
            <w:tcW w:type="dxa" w:w="5112"/>
            <w:shd w:fill="1F4E79"/>
            <w:vAlign w:val="top"/>
          </w:tcPr>
          <w:p>
            <w:pPr>
              <w:jc w:val="left"/>
            </w:pPr>
            <w:r/>
            <w:r>
              <w:rPr>
                <w:b/>
                <w:color w:val="FFFFFF"/>
                <w:sz w:val="16"/>
              </w:rPr>
              <w:t>Phase</w:t>
            </w:r>
          </w:p>
        </w:tc>
        <w:tc>
          <w:tcPr>
            <w:tcW w:type="dxa" w:w="5112"/>
            <w:shd w:fill="1F4E79"/>
            <w:vAlign w:val="top"/>
          </w:tcPr>
          <w:p>
            <w:pPr>
              <w:jc w:val="left"/>
            </w:pPr>
            <w:r/>
            <w:r>
              <w:rPr>
                <w:b/>
                <w:color w:val="FFFFFF"/>
                <w:sz w:val="16"/>
              </w:rPr>
              <w:t>Description</w:t>
            </w:r>
          </w:p>
        </w:tc>
      </w:tr>
      <w:tr>
        <w:tc>
          <w:tcPr>
            <w:tcW w:type="dxa" w:w="5112"/>
            <w:vAlign w:val="top"/>
          </w:tcPr>
          <w:p>
            <w:pPr>
              <w:jc w:val="left"/>
            </w:pPr>
            <w:r/>
            <w:r>
              <w:rPr>
                <w:b w:val="0"/>
                <w:sz w:val="16"/>
              </w:rPr>
              <w:t>Phase 0 - Discovery</w:t>
            </w:r>
          </w:p>
        </w:tc>
        <w:tc>
          <w:tcPr>
            <w:tcW w:type="dxa" w:w="5112"/>
            <w:vAlign w:val="top"/>
          </w:tcPr>
          <w:p>
            <w:pPr>
              <w:jc w:val="left"/>
            </w:pPr>
            <w:r/>
            <w:r>
              <w:rPr>
                <w:b w:val="0"/>
                <w:sz w:val="16"/>
              </w:rPr>
              <w:t>Confirm product principles, data sources, regulatory boundaries, MVP scope and design assumptions.</w:t>
            </w:r>
          </w:p>
        </w:tc>
      </w:tr>
      <w:tr>
        <w:tc>
          <w:tcPr>
            <w:tcW w:type="dxa" w:w="5112"/>
            <w:vAlign w:val="top"/>
          </w:tcPr>
          <w:p>
            <w:pPr>
              <w:jc w:val="left"/>
            </w:pPr>
            <w:r/>
            <w:r>
              <w:rPr>
                <w:b w:val="0"/>
                <w:sz w:val="16"/>
              </w:rPr>
              <w:t>Phase 1 - Manual MVP</w:t>
            </w:r>
          </w:p>
        </w:tc>
        <w:tc>
          <w:tcPr>
            <w:tcW w:type="dxa" w:w="5112"/>
            <w:vAlign w:val="top"/>
          </w:tcPr>
          <w:p>
            <w:pPr>
              <w:jc w:val="left"/>
            </w:pPr>
            <w:r/>
            <w:r>
              <w:rPr>
                <w:b w:val="0"/>
                <w:sz w:val="16"/>
              </w:rPr>
              <w:t>Build CSV import, core schema, transaction review, dashboard and basic AI summaries.</w:t>
            </w:r>
          </w:p>
        </w:tc>
      </w:tr>
      <w:tr>
        <w:tc>
          <w:tcPr>
            <w:tcW w:type="dxa" w:w="5112"/>
            <w:vAlign w:val="top"/>
          </w:tcPr>
          <w:p>
            <w:pPr>
              <w:jc w:val="left"/>
            </w:pPr>
            <w:r/>
            <w:r>
              <w:rPr>
                <w:b w:val="0"/>
                <w:sz w:val="16"/>
              </w:rPr>
              <w:t>Phase 2 - Finance Rules</w:t>
            </w:r>
          </w:p>
        </w:tc>
        <w:tc>
          <w:tcPr>
            <w:tcW w:type="dxa" w:w="5112"/>
            <w:vAlign w:val="top"/>
          </w:tcPr>
          <w:p>
            <w:pPr>
              <w:jc w:val="left"/>
            </w:pPr>
            <w:r/>
            <w:r>
              <w:rPr>
                <w:b w:val="0"/>
                <w:sz w:val="16"/>
              </w:rPr>
              <w:t>Add budgets, bills, subscriptions, safe-to-spend and cashflow projection logic.</w:t>
            </w:r>
          </w:p>
        </w:tc>
      </w:tr>
      <w:tr>
        <w:tc>
          <w:tcPr>
            <w:tcW w:type="dxa" w:w="5112"/>
            <w:vAlign w:val="top"/>
          </w:tcPr>
          <w:p>
            <w:pPr>
              <w:jc w:val="left"/>
            </w:pPr>
            <w:r/>
            <w:r>
              <w:rPr>
                <w:b w:val="0"/>
                <w:sz w:val="16"/>
              </w:rPr>
              <w:t>Phase 3 - AI Coach</w:t>
            </w:r>
          </w:p>
        </w:tc>
        <w:tc>
          <w:tcPr>
            <w:tcW w:type="dxa" w:w="5112"/>
            <w:vAlign w:val="top"/>
          </w:tcPr>
          <w:p>
            <w:pPr>
              <w:jc w:val="left"/>
            </w:pPr>
            <w:r/>
            <w:r>
              <w:rPr>
                <w:b w:val="0"/>
                <w:sz w:val="16"/>
              </w:rPr>
              <w:t>Add tool-grounded AI responses, scenario questions, weekly/monthly reviews and insight history.</w:t>
            </w:r>
          </w:p>
        </w:tc>
      </w:tr>
      <w:tr>
        <w:tc>
          <w:tcPr>
            <w:tcW w:type="dxa" w:w="5112"/>
            <w:vAlign w:val="top"/>
          </w:tcPr>
          <w:p>
            <w:pPr>
              <w:jc w:val="left"/>
            </w:pPr>
            <w:r/>
            <w:r>
              <w:rPr>
                <w:b w:val="0"/>
                <w:sz w:val="16"/>
              </w:rPr>
              <w:t>Phase 4 - Open Banking PoC</w:t>
            </w:r>
          </w:p>
        </w:tc>
        <w:tc>
          <w:tcPr>
            <w:tcW w:type="dxa" w:w="5112"/>
            <w:vAlign w:val="top"/>
          </w:tcPr>
          <w:p>
            <w:pPr>
              <w:jc w:val="left"/>
            </w:pPr>
            <w:r/>
            <w:r>
              <w:rPr>
                <w:b w:val="0"/>
                <w:sz w:val="16"/>
              </w:rPr>
              <w:t>Integrate one provider in sandbox, sync accounts/transactions and validate token/consent handling.</w:t>
            </w:r>
          </w:p>
        </w:tc>
      </w:tr>
      <w:tr>
        <w:tc>
          <w:tcPr>
            <w:tcW w:type="dxa" w:w="5112"/>
            <w:vAlign w:val="top"/>
          </w:tcPr>
          <w:p>
            <w:pPr>
              <w:jc w:val="left"/>
            </w:pPr>
            <w:r/>
            <w:r>
              <w:rPr>
                <w:b w:val="0"/>
                <w:sz w:val="16"/>
              </w:rPr>
              <w:t>Phase 5 - Automation</w:t>
            </w:r>
          </w:p>
        </w:tc>
        <w:tc>
          <w:tcPr>
            <w:tcW w:type="dxa" w:w="5112"/>
            <w:vAlign w:val="top"/>
          </w:tcPr>
          <w:p>
            <w:pPr>
              <w:jc w:val="left"/>
            </w:pPr>
            <w:r/>
            <w:r>
              <w:rPr>
                <w:b w:val="0"/>
                <w:sz w:val="16"/>
              </w:rPr>
              <w:t>Add scheduled refreshes, alert rules, payday planning and notification preferences.</w:t>
            </w:r>
          </w:p>
        </w:tc>
      </w:tr>
      <w:tr>
        <w:tc>
          <w:tcPr>
            <w:tcW w:type="dxa" w:w="5112"/>
            <w:vAlign w:val="top"/>
          </w:tcPr>
          <w:p>
            <w:pPr>
              <w:jc w:val="left"/>
            </w:pPr>
            <w:r/>
            <w:r>
              <w:rPr>
                <w:b w:val="0"/>
                <w:sz w:val="16"/>
              </w:rPr>
              <w:t>Phase 6 - Hardening</w:t>
            </w:r>
          </w:p>
        </w:tc>
        <w:tc>
          <w:tcPr>
            <w:tcW w:type="dxa" w:w="5112"/>
            <w:vAlign w:val="top"/>
          </w:tcPr>
          <w:p>
            <w:pPr>
              <w:jc w:val="left"/>
            </w:pPr>
            <w:r/>
            <w:r>
              <w:rPr>
                <w:b w:val="0"/>
                <w:sz w:val="16"/>
              </w:rPr>
              <w:t>Complete security controls, regression suite, backup/restore, observability and release packaging.</w:t>
            </w:r>
          </w:p>
        </w:tc>
      </w:tr>
    </w:tbl>
    <w:p/>
    <w:p>
      <w:pPr>
        <w:pStyle w:val="Heading1"/>
      </w:pPr>
      <w:r>
        <w:t>6. Roadmap and Milestones</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08"/>
        <w:gridCol w:w="3408"/>
        <w:gridCol w:w="3408"/>
      </w:tblGrid>
      <w:tr>
        <w:trPr>
          <w:tblHeader w:val="true"/>
        </w:trPr>
        <w:tc>
          <w:tcPr>
            <w:tcW w:type="dxa" w:w="3408"/>
            <w:shd w:fill="1F4E79"/>
            <w:vAlign w:val="top"/>
          </w:tcPr>
          <w:p>
            <w:pPr>
              <w:jc w:val="left"/>
            </w:pPr>
            <w:r/>
            <w:r>
              <w:rPr>
                <w:b/>
                <w:color w:val="FFFFFF"/>
                <w:sz w:val="16"/>
              </w:rPr>
              <w:t>Milestone</w:t>
            </w:r>
          </w:p>
        </w:tc>
        <w:tc>
          <w:tcPr>
            <w:tcW w:type="dxa" w:w="3408"/>
            <w:shd w:fill="1F4E79"/>
            <w:vAlign w:val="top"/>
          </w:tcPr>
          <w:p>
            <w:pPr>
              <w:jc w:val="left"/>
            </w:pPr>
            <w:r/>
            <w:r>
              <w:rPr>
                <w:b/>
                <w:color w:val="FFFFFF"/>
                <w:sz w:val="16"/>
              </w:rPr>
              <w:t>Name</w:t>
            </w:r>
          </w:p>
        </w:tc>
        <w:tc>
          <w:tcPr>
            <w:tcW w:type="dxa" w:w="3408"/>
            <w:shd w:fill="1F4E79"/>
            <w:vAlign w:val="top"/>
          </w:tcPr>
          <w:p>
            <w:pPr>
              <w:jc w:val="left"/>
            </w:pPr>
            <w:r/>
            <w:r>
              <w:rPr>
                <w:b/>
                <w:color w:val="FFFFFF"/>
                <w:sz w:val="16"/>
              </w:rPr>
              <w:t>Exit Criteria</w:t>
            </w:r>
          </w:p>
        </w:tc>
      </w:tr>
      <w:tr>
        <w:tc>
          <w:tcPr>
            <w:tcW w:type="dxa" w:w="3408"/>
            <w:vAlign w:val="top"/>
          </w:tcPr>
          <w:p>
            <w:pPr>
              <w:jc w:val="left"/>
            </w:pPr>
            <w:r/>
            <w:r>
              <w:rPr>
                <w:b w:val="0"/>
                <w:sz w:val="16"/>
              </w:rPr>
              <w:t>M0</w:t>
            </w:r>
          </w:p>
        </w:tc>
        <w:tc>
          <w:tcPr>
            <w:tcW w:type="dxa" w:w="3408"/>
            <w:vAlign w:val="top"/>
          </w:tcPr>
          <w:p>
            <w:pPr>
              <w:jc w:val="left"/>
            </w:pPr>
            <w:r/>
            <w:r>
              <w:rPr>
                <w:b w:val="0"/>
                <w:sz w:val="16"/>
              </w:rPr>
              <w:t>Project pack baselined</w:t>
            </w:r>
          </w:p>
        </w:tc>
        <w:tc>
          <w:tcPr>
            <w:tcW w:type="dxa" w:w="3408"/>
            <w:vAlign w:val="top"/>
          </w:tcPr>
          <w:p>
            <w:pPr>
              <w:jc w:val="left"/>
            </w:pPr>
            <w:r/>
            <w:r>
              <w:rPr>
                <w:b w:val="0"/>
                <w:sz w:val="16"/>
              </w:rPr>
              <w:t>PID, design and architecture documents accepted as v0.1.</w:t>
            </w:r>
          </w:p>
        </w:tc>
      </w:tr>
      <w:tr>
        <w:tc>
          <w:tcPr>
            <w:tcW w:type="dxa" w:w="3408"/>
            <w:vAlign w:val="top"/>
          </w:tcPr>
          <w:p>
            <w:pPr>
              <w:jc w:val="left"/>
            </w:pPr>
            <w:r/>
            <w:r>
              <w:rPr>
                <w:b w:val="0"/>
                <w:sz w:val="16"/>
              </w:rPr>
              <w:t>M1</w:t>
            </w:r>
          </w:p>
        </w:tc>
        <w:tc>
          <w:tcPr>
            <w:tcW w:type="dxa" w:w="3408"/>
            <w:vAlign w:val="top"/>
          </w:tcPr>
          <w:p>
            <w:pPr>
              <w:jc w:val="left"/>
            </w:pPr>
            <w:r/>
            <w:r>
              <w:rPr>
                <w:b w:val="0"/>
                <w:sz w:val="16"/>
              </w:rPr>
              <w:t>Local dashboard shell</w:t>
            </w:r>
          </w:p>
        </w:tc>
        <w:tc>
          <w:tcPr>
            <w:tcW w:type="dxa" w:w="3408"/>
            <w:vAlign w:val="top"/>
          </w:tcPr>
          <w:p>
            <w:pPr>
              <w:jc w:val="left"/>
            </w:pPr>
            <w:r/>
            <w:r>
              <w:rPr>
                <w:b w:val="0"/>
                <w:sz w:val="16"/>
              </w:rPr>
              <w:t>Navigation, layout, auth placeholder and sample data dashboard complete.</w:t>
            </w:r>
          </w:p>
        </w:tc>
      </w:tr>
      <w:tr>
        <w:tc>
          <w:tcPr>
            <w:tcW w:type="dxa" w:w="3408"/>
            <w:vAlign w:val="top"/>
          </w:tcPr>
          <w:p>
            <w:pPr>
              <w:jc w:val="left"/>
            </w:pPr>
            <w:r/>
            <w:r>
              <w:rPr>
                <w:b w:val="0"/>
                <w:sz w:val="16"/>
              </w:rPr>
              <w:t>M2</w:t>
            </w:r>
          </w:p>
        </w:tc>
        <w:tc>
          <w:tcPr>
            <w:tcW w:type="dxa" w:w="3408"/>
            <w:vAlign w:val="top"/>
          </w:tcPr>
          <w:p>
            <w:pPr>
              <w:jc w:val="left"/>
            </w:pPr>
            <w:r/>
            <w:r>
              <w:rPr>
                <w:b w:val="0"/>
                <w:sz w:val="16"/>
              </w:rPr>
              <w:t>CSV ingestion complete</w:t>
            </w:r>
          </w:p>
        </w:tc>
        <w:tc>
          <w:tcPr>
            <w:tcW w:type="dxa" w:w="3408"/>
            <w:vAlign w:val="top"/>
          </w:tcPr>
          <w:p>
            <w:pPr>
              <w:jc w:val="left"/>
            </w:pPr>
            <w:r/>
            <w:r>
              <w:rPr>
                <w:b w:val="0"/>
                <w:sz w:val="16"/>
              </w:rPr>
              <w:t>CSV upload, normalisation, account mapping and transaction review working.</w:t>
            </w:r>
          </w:p>
        </w:tc>
      </w:tr>
      <w:tr>
        <w:tc>
          <w:tcPr>
            <w:tcW w:type="dxa" w:w="3408"/>
            <w:vAlign w:val="top"/>
          </w:tcPr>
          <w:p>
            <w:pPr>
              <w:jc w:val="left"/>
            </w:pPr>
            <w:r/>
            <w:r>
              <w:rPr>
                <w:b w:val="0"/>
                <w:sz w:val="16"/>
              </w:rPr>
              <w:t>M3</w:t>
            </w:r>
          </w:p>
        </w:tc>
        <w:tc>
          <w:tcPr>
            <w:tcW w:type="dxa" w:w="3408"/>
            <w:vAlign w:val="top"/>
          </w:tcPr>
          <w:p>
            <w:pPr>
              <w:jc w:val="left"/>
            </w:pPr>
            <w:r/>
            <w:r>
              <w:rPr>
                <w:b w:val="0"/>
                <w:sz w:val="16"/>
              </w:rPr>
              <w:t>Budget and bills MVP</w:t>
            </w:r>
          </w:p>
        </w:tc>
        <w:tc>
          <w:tcPr>
            <w:tcW w:type="dxa" w:w="3408"/>
            <w:vAlign w:val="top"/>
          </w:tcPr>
          <w:p>
            <w:pPr>
              <w:jc w:val="left"/>
            </w:pPr>
            <w:r/>
            <w:r>
              <w:rPr>
                <w:b w:val="0"/>
                <w:sz w:val="16"/>
              </w:rPr>
              <w:t>Budget categories, recurring detection, subscription list and upcoming bills complete.</w:t>
            </w:r>
          </w:p>
        </w:tc>
      </w:tr>
      <w:tr>
        <w:tc>
          <w:tcPr>
            <w:tcW w:type="dxa" w:w="3408"/>
            <w:vAlign w:val="top"/>
          </w:tcPr>
          <w:p>
            <w:pPr>
              <w:jc w:val="left"/>
            </w:pPr>
            <w:r/>
            <w:r>
              <w:rPr>
                <w:b w:val="0"/>
                <w:sz w:val="16"/>
              </w:rPr>
              <w:t>M4</w:t>
            </w:r>
          </w:p>
        </w:tc>
        <w:tc>
          <w:tcPr>
            <w:tcW w:type="dxa" w:w="3408"/>
            <w:vAlign w:val="top"/>
          </w:tcPr>
          <w:p>
            <w:pPr>
              <w:jc w:val="left"/>
            </w:pPr>
            <w:r/>
            <w:r>
              <w:rPr>
                <w:b w:val="0"/>
                <w:sz w:val="16"/>
              </w:rPr>
              <w:t>AI coach MVP</w:t>
            </w:r>
          </w:p>
        </w:tc>
        <w:tc>
          <w:tcPr>
            <w:tcW w:type="dxa" w:w="3408"/>
            <w:vAlign w:val="top"/>
          </w:tcPr>
          <w:p>
            <w:pPr>
              <w:jc w:val="left"/>
            </w:pPr>
            <w:r/>
            <w:r>
              <w:rPr>
                <w:b w:val="0"/>
                <w:sz w:val="16"/>
              </w:rPr>
              <w:t>Grounded AI summaries, affordability scenario and monthly review working with audit trace.</w:t>
            </w:r>
          </w:p>
        </w:tc>
      </w:tr>
      <w:tr>
        <w:tc>
          <w:tcPr>
            <w:tcW w:type="dxa" w:w="3408"/>
            <w:vAlign w:val="top"/>
          </w:tcPr>
          <w:p>
            <w:pPr>
              <w:jc w:val="left"/>
            </w:pPr>
            <w:r/>
            <w:r>
              <w:rPr>
                <w:b w:val="0"/>
                <w:sz w:val="16"/>
              </w:rPr>
              <w:t>M5</w:t>
            </w:r>
          </w:p>
        </w:tc>
        <w:tc>
          <w:tcPr>
            <w:tcW w:type="dxa" w:w="3408"/>
            <w:vAlign w:val="top"/>
          </w:tcPr>
          <w:p>
            <w:pPr>
              <w:jc w:val="left"/>
            </w:pPr>
            <w:r/>
            <w:r>
              <w:rPr>
                <w:b w:val="0"/>
                <w:sz w:val="16"/>
              </w:rPr>
              <w:t>Open Banking sandbox PoC</w:t>
            </w:r>
          </w:p>
        </w:tc>
        <w:tc>
          <w:tcPr>
            <w:tcW w:type="dxa" w:w="3408"/>
            <w:vAlign w:val="top"/>
          </w:tcPr>
          <w:p>
            <w:pPr>
              <w:jc w:val="left"/>
            </w:pPr>
            <w:r/>
            <w:r>
              <w:rPr>
                <w:b w:val="0"/>
                <w:sz w:val="16"/>
              </w:rPr>
              <w:t>Provider sandbox connection, sync job and webhook path demonstrated.</w:t>
            </w:r>
          </w:p>
        </w:tc>
      </w:tr>
      <w:tr>
        <w:tc>
          <w:tcPr>
            <w:tcW w:type="dxa" w:w="3408"/>
            <w:vAlign w:val="top"/>
          </w:tcPr>
          <w:p>
            <w:pPr>
              <w:jc w:val="left"/>
            </w:pPr>
            <w:r/>
            <w:r>
              <w:rPr>
                <w:b w:val="0"/>
                <w:sz w:val="16"/>
              </w:rPr>
              <w:t>M6</w:t>
            </w:r>
          </w:p>
        </w:tc>
        <w:tc>
          <w:tcPr>
            <w:tcW w:type="dxa" w:w="3408"/>
            <w:vAlign w:val="top"/>
          </w:tcPr>
          <w:p>
            <w:pPr>
              <w:jc w:val="left"/>
            </w:pPr>
            <w:r/>
            <w:r>
              <w:rPr>
                <w:b w:val="0"/>
                <w:sz w:val="16"/>
              </w:rPr>
              <w:t>Private beta</w:t>
            </w:r>
          </w:p>
        </w:tc>
        <w:tc>
          <w:tcPr>
            <w:tcW w:type="dxa" w:w="3408"/>
            <w:vAlign w:val="top"/>
          </w:tcPr>
          <w:p>
            <w:pPr>
              <w:jc w:val="left"/>
            </w:pPr>
            <w:r/>
            <w:r>
              <w:rPr>
                <w:b w:val="0"/>
                <w:sz w:val="16"/>
              </w:rPr>
              <w:t>Security review, test pack, backup and user acceptance complete.</w:t>
            </w:r>
          </w:p>
        </w:tc>
      </w:tr>
    </w:tbl>
    <w:p/>
    <w:p>
      <w:pPr>
        <w:pStyle w:val="Heading1"/>
      </w:pPr>
      <w:r>
        <w:t>7. MVP Backlog</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08"/>
        <w:gridCol w:w="3408"/>
        <w:gridCol w:w="3408"/>
      </w:tblGrid>
      <w:tr>
        <w:trPr>
          <w:tblHeader w:val="true"/>
        </w:trPr>
        <w:tc>
          <w:tcPr>
            <w:tcW w:type="dxa" w:w="3408"/>
            <w:shd w:fill="1F4E79"/>
            <w:vAlign w:val="top"/>
          </w:tcPr>
          <w:p>
            <w:pPr>
              <w:jc w:val="left"/>
            </w:pPr>
            <w:r/>
            <w:r>
              <w:rPr>
                <w:b/>
                <w:color w:val="FFFFFF"/>
                <w:sz w:val="16"/>
              </w:rPr>
              <w:t>Epic</w:t>
            </w:r>
          </w:p>
        </w:tc>
        <w:tc>
          <w:tcPr>
            <w:tcW w:type="dxa" w:w="3408"/>
            <w:shd w:fill="1F4E79"/>
            <w:vAlign w:val="top"/>
          </w:tcPr>
          <w:p>
            <w:pPr>
              <w:jc w:val="left"/>
            </w:pPr>
            <w:r/>
            <w:r>
              <w:rPr>
                <w:b/>
                <w:color w:val="FFFFFF"/>
                <w:sz w:val="16"/>
              </w:rPr>
              <w:t>Name</w:t>
            </w:r>
          </w:p>
        </w:tc>
        <w:tc>
          <w:tcPr>
            <w:tcW w:type="dxa" w:w="3408"/>
            <w:shd w:fill="1F4E79"/>
            <w:vAlign w:val="top"/>
          </w:tcPr>
          <w:p>
            <w:pPr>
              <w:jc w:val="left"/>
            </w:pPr>
            <w:r/>
            <w:r>
              <w:rPr>
                <w:b/>
                <w:color w:val="FFFFFF"/>
                <w:sz w:val="16"/>
              </w:rPr>
              <w:t>Scope</w:t>
            </w:r>
          </w:p>
        </w:tc>
      </w:tr>
      <w:tr>
        <w:tc>
          <w:tcPr>
            <w:tcW w:type="dxa" w:w="3408"/>
            <w:vAlign w:val="top"/>
          </w:tcPr>
          <w:p>
            <w:pPr>
              <w:jc w:val="left"/>
            </w:pPr>
            <w:r/>
            <w:r>
              <w:rPr>
                <w:b w:val="0"/>
                <w:sz w:val="16"/>
              </w:rPr>
              <w:t>EPIC-01</w:t>
            </w:r>
          </w:p>
        </w:tc>
        <w:tc>
          <w:tcPr>
            <w:tcW w:type="dxa" w:w="3408"/>
            <w:vAlign w:val="top"/>
          </w:tcPr>
          <w:p>
            <w:pPr>
              <w:jc w:val="left"/>
            </w:pPr>
            <w:r/>
            <w:r>
              <w:rPr>
                <w:b w:val="0"/>
                <w:sz w:val="16"/>
              </w:rPr>
              <w:t>Dashboard foundation</w:t>
            </w:r>
          </w:p>
        </w:tc>
        <w:tc>
          <w:tcPr>
            <w:tcW w:type="dxa" w:w="3408"/>
            <w:vAlign w:val="top"/>
          </w:tcPr>
          <w:p>
            <w:pPr>
              <w:jc w:val="left"/>
            </w:pPr>
            <w:r/>
            <w:r>
              <w:rPr>
                <w:b w:val="0"/>
                <w:sz w:val="16"/>
              </w:rPr>
              <w:t>Layout, navigation, responsive shell, page routing, design system.</w:t>
            </w:r>
          </w:p>
        </w:tc>
      </w:tr>
      <w:tr>
        <w:tc>
          <w:tcPr>
            <w:tcW w:type="dxa" w:w="3408"/>
            <w:vAlign w:val="top"/>
          </w:tcPr>
          <w:p>
            <w:pPr>
              <w:jc w:val="left"/>
            </w:pPr>
            <w:r/>
            <w:r>
              <w:rPr>
                <w:b w:val="0"/>
                <w:sz w:val="16"/>
              </w:rPr>
              <w:t>EPIC-02</w:t>
            </w:r>
          </w:p>
        </w:tc>
        <w:tc>
          <w:tcPr>
            <w:tcW w:type="dxa" w:w="3408"/>
            <w:vAlign w:val="top"/>
          </w:tcPr>
          <w:p>
            <w:pPr>
              <w:jc w:val="left"/>
            </w:pPr>
            <w:r/>
            <w:r>
              <w:rPr>
                <w:b w:val="0"/>
                <w:sz w:val="16"/>
              </w:rPr>
              <w:t>Data ingestion</w:t>
            </w:r>
          </w:p>
        </w:tc>
        <w:tc>
          <w:tcPr>
            <w:tcW w:type="dxa" w:w="3408"/>
            <w:vAlign w:val="top"/>
          </w:tcPr>
          <w:p>
            <w:pPr>
              <w:jc w:val="left"/>
            </w:pPr>
            <w:r/>
            <w:r>
              <w:rPr>
                <w:b w:val="0"/>
                <w:sz w:val="16"/>
              </w:rPr>
              <w:t>CSV upload, provider mapping, deduplication, validation and import history.</w:t>
            </w:r>
          </w:p>
        </w:tc>
      </w:tr>
      <w:tr>
        <w:tc>
          <w:tcPr>
            <w:tcW w:type="dxa" w:w="3408"/>
            <w:vAlign w:val="top"/>
          </w:tcPr>
          <w:p>
            <w:pPr>
              <w:jc w:val="left"/>
            </w:pPr>
            <w:r/>
            <w:r>
              <w:rPr>
                <w:b w:val="0"/>
                <w:sz w:val="16"/>
              </w:rPr>
              <w:t>EPIC-03</w:t>
            </w:r>
          </w:p>
        </w:tc>
        <w:tc>
          <w:tcPr>
            <w:tcW w:type="dxa" w:w="3408"/>
            <w:vAlign w:val="top"/>
          </w:tcPr>
          <w:p>
            <w:pPr>
              <w:jc w:val="left"/>
            </w:pPr>
            <w:r/>
            <w:r>
              <w:rPr>
                <w:b w:val="0"/>
                <w:sz w:val="16"/>
              </w:rPr>
              <w:t>Transaction management</w:t>
            </w:r>
          </w:p>
        </w:tc>
        <w:tc>
          <w:tcPr>
            <w:tcW w:type="dxa" w:w="3408"/>
            <w:vAlign w:val="top"/>
          </w:tcPr>
          <w:p>
            <w:pPr>
              <w:jc w:val="left"/>
            </w:pPr>
            <w:r/>
            <w:r>
              <w:rPr>
                <w:b w:val="0"/>
                <w:sz w:val="16"/>
              </w:rPr>
              <w:t>Search, filtering, categorisation, review workflow and merchant rules.</w:t>
            </w:r>
          </w:p>
        </w:tc>
      </w:tr>
      <w:tr>
        <w:tc>
          <w:tcPr>
            <w:tcW w:type="dxa" w:w="3408"/>
            <w:vAlign w:val="top"/>
          </w:tcPr>
          <w:p>
            <w:pPr>
              <w:jc w:val="left"/>
            </w:pPr>
            <w:r/>
            <w:r>
              <w:rPr>
                <w:b w:val="0"/>
                <w:sz w:val="16"/>
              </w:rPr>
              <w:t>EPIC-04</w:t>
            </w:r>
          </w:p>
        </w:tc>
        <w:tc>
          <w:tcPr>
            <w:tcW w:type="dxa" w:w="3408"/>
            <w:vAlign w:val="top"/>
          </w:tcPr>
          <w:p>
            <w:pPr>
              <w:jc w:val="left"/>
            </w:pPr>
            <w:r/>
            <w:r>
              <w:rPr>
                <w:b w:val="0"/>
                <w:sz w:val="16"/>
              </w:rPr>
              <w:t>Budgets</w:t>
            </w:r>
          </w:p>
        </w:tc>
        <w:tc>
          <w:tcPr>
            <w:tcW w:type="dxa" w:w="3408"/>
            <w:vAlign w:val="top"/>
          </w:tcPr>
          <w:p>
            <w:pPr>
              <w:jc w:val="left"/>
            </w:pPr>
            <w:r/>
            <w:r>
              <w:rPr>
                <w:b w:val="0"/>
                <w:sz w:val="16"/>
              </w:rPr>
              <w:t>Budget periods, category limits, remaining spend and pace assessment.</w:t>
            </w:r>
          </w:p>
        </w:tc>
      </w:tr>
      <w:tr>
        <w:tc>
          <w:tcPr>
            <w:tcW w:type="dxa" w:w="3408"/>
            <w:vAlign w:val="top"/>
          </w:tcPr>
          <w:p>
            <w:pPr>
              <w:jc w:val="left"/>
            </w:pPr>
            <w:r/>
            <w:r>
              <w:rPr>
                <w:b w:val="0"/>
                <w:sz w:val="16"/>
              </w:rPr>
              <w:t>EPIC-05</w:t>
            </w:r>
          </w:p>
        </w:tc>
        <w:tc>
          <w:tcPr>
            <w:tcW w:type="dxa" w:w="3408"/>
            <w:vAlign w:val="top"/>
          </w:tcPr>
          <w:p>
            <w:pPr>
              <w:jc w:val="left"/>
            </w:pPr>
            <w:r/>
            <w:r>
              <w:rPr>
                <w:b w:val="0"/>
                <w:sz w:val="16"/>
              </w:rPr>
              <w:t>Bills and subscriptions</w:t>
            </w:r>
          </w:p>
        </w:tc>
        <w:tc>
          <w:tcPr>
            <w:tcW w:type="dxa" w:w="3408"/>
            <w:vAlign w:val="top"/>
          </w:tcPr>
          <w:p>
            <w:pPr>
              <w:jc w:val="left"/>
            </w:pPr>
            <w:r/>
            <w:r>
              <w:rPr>
                <w:b w:val="0"/>
                <w:sz w:val="16"/>
              </w:rPr>
              <w:t>Recurring detection, bill calendar, renewal flags and price-change detection.</w:t>
            </w:r>
          </w:p>
        </w:tc>
      </w:tr>
      <w:tr>
        <w:tc>
          <w:tcPr>
            <w:tcW w:type="dxa" w:w="3408"/>
            <w:vAlign w:val="top"/>
          </w:tcPr>
          <w:p>
            <w:pPr>
              <w:jc w:val="left"/>
            </w:pPr>
            <w:r/>
            <w:r>
              <w:rPr>
                <w:b w:val="0"/>
                <w:sz w:val="16"/>
              </w:rPr>
              <w:t>EPIC-06</w:t>
            </w:r>
          </w:p>
        </w:tc>
        <w:tc>
          <w:tcPr>
            <w:tcW w:type="dxa" w:w="3408"/>
            <w:vAlign w:val="top"/>
          </w:tcPr>
          <w:p>
            <w:pPr>
              <w:jc w:val="left"/>
            </w:pPr>
            <w:r/>
            <w:r>
              <w:rPr>
                <w:b w:val="0"/>
                <w:sz w:val="16"/>
              </w:rPr>
              <w:t>Safe-to-spend</w:t>
            </w:r>
          </w:p>
        </w:tc>
        <w:tc>
          <w:tcPr>
            <w:tcW w:type="dxa" w:w="3408"/>
            <w:vAlign w:val="top"/>
          </w:tcPr>
          <w:p>
            <w:pPr>
              <w:jc w:val="left"/>
            </w:pPr>
            <w:r/>
            <w:r>
              <w:rPr>
                <w:b w:val="0"/>
                <w:sz w:val="16"/>
              </w:rPr>
              <w:t>Current cash minus committed bills, savings commitments and minimum buffer.</w:t>
            </w:r>
          </w:p>
        </w:tc>
      </w:tr>
      <w:tr>
        <w:tc>
          <w:tcPr>
            <w:tcW w:type="dxa" w:w="3408"/>
            <w:vAlign w:val="top"/>
          </w:tcPr>
          <w:p>
            <w:pPr>
              <w:jc w:val="left"/>
            </w:pPr>
            <w:r/>
            <w:r>
              <w:rPr>
                <w:b w:val="0"/>
                <w:sz w:val="16"/>
              </w:rPr>
              <w:t>EPIC-07</w:t>
            </w:r>
          </w:p>
        </w:tc>
        <w:tc>
          <w:tcPr>
            <w:tcW w:type="dxa" w:w="3408"/>
            <w:vAlign w:val="top"/>
          </w:tcPr>
          <w:p>
            <w:pPr>
              <w:jc w:val="left"/>
            </w:pPr>
            <w:r/>
            <w:r>
              <w:rPr>
                <w:b w:val="0"/>
                <w:sz w:val="16"/>
              </w:rPr>
              <w:t>Goals</w:t>
            </w:r>
          </w:p>
        </w:tc>
        <w:tc>
          <w:tcPr>
            <w:tcW w:type="dxa" w:w="3408"/>
            <w:vAlign w:val="top"/>
          </w:tcPr>
          <w:p>
            <w:pPr>
              <w:jc w:val="left"/>
            </w:pPr>
            <w:r/>
            <w:r>
              <w:rPr>
                <w:b w:val="0"/>
                <w:sz w:val="16"/>
              </w:rPr>
              <w:t>Savings goals, target date, suggested monthly contribution and progress.</w:t>
            </w:r>
          </w:p>
        </w:tc>
      </w:tr>
      <w:tr>
        <w:tc>
          <w:tcPr>
            <w:tcW w:type="dxa" w:w="3408"/>
            <w:vAlign w:val="top"/>
          </w:tcPr>
          <w:p>
            <w:pPr>
              <w:jc w:val="left"/>
            </w:pPr>
            <w:r/>
            <w:r>
              <w:rPr>
                <w:b w:val="0"/>
                <w:sz w:val="16"/>
              </w:rPr>
              <w:t>EPIC-08</w:t>
            </w:r>
          </w:p>
        </w:tc>
        <w:tc>
          <w:tcPr>
            <w:tcW w:type="dxa" w:w="3408"/>
            <w:vAlign w:val="top"/>
          </w:tcPr>
          <w:p>
            <w:pPr>
              <w:jc w:val="left"/>
            </w:pPr>
            <w:r/>
            <w:r>
              <w:rPr>
                <w:b w:val="0"/>
                <w:sz w:val="16"/>
              </w:rPr>
              <w:t>AI coach</w:t>
            </w:r>
          </w:p>
        </w:tc>
        <w:tc>
          <w:tcPr>
            <w:tcW w:type="dxa" w:w="3408"/>
            <w:vAlign w:val="top"/>
          </w:tcPr>
          <w:p>
            <w:pPr>
              <w:jc w:val="left"/>
            </w:pPr>
            <w:r/>
            <w:r>
              <w:rPr>
                <w:b w:val="0"/>
                <w:sz w:val="16"/>
              </w:rPr>
              <w:t>AI chat tools, grounded summaries, scenario analysis, insight cards and prompt safety.</w:t>
            </w:r>
          </w:p>
        </w:tc>
      </w:tr>
      <w:tr>
        <w:tc>
          <w:tcPr>
            <w:tcW w:type="dxa" w:w="3408"/>
            <w:vAlign w:val="top"/>
          </w:tcPr>
          <w:p>
            <w:pPr>
              <w:jc w:val="left"/>
            </w:pPr>
            <w:r/>
            <w:r>
              <w:rPr>
                <w:b w:val="0"/>
                <w:sz w:val="16"/>
              </w:rPr>
              <w:t>EPIC-09</w:t>
            </w:r>
          </w:p>
        </w:tc>
        <w:tc>
          <w:tcPr>
            <w:tcW w:type="dxa" w:w="3408"/>
            <w:vAlign w:val="top"/>
          </w:tcPr>
          <w:p>
            <w:pPr>
              <w:jc w:val="left"/>
            </w:pPr>
            <w:r/>
            <w:r>
              <w:rPr>
                <w:b w:val="0"/>
                <w:sz w:val="16"/>
              </w:rPr>
              <w:t>Security and privacy</w:t>
            </w:r>
          </w:p>
        </w:tc>
        <w:tc>
          <w:tcPr>
            <w:tcW w:type="dxa" w:w="3408"/>
            <w:vAlign w:val="top"/>
          </w:tcPr>
          <w:p>
            <w:pPr>
              <w:jc w:val="left"/>
            </w:pPr>
            <w:r/>
            <w:r>
              <w:rPr>
                <w:b w:val="0"/>
                <w:sz w:val="16"/>
              </w:rPr>
              <w:t>Auth, encryption, secret storage, audit log, data minimisation and export/delete controls.</w:t>
            </w:r>
          </w:p>
        </w:tc>
      </w:tr>
      <w:tr>
        <w:tc>
          <w:tcPr>
            <w:tcW w:type="dxa" w:w="3408"/>
            <w:vAlign w:val="top"/>
          </w:tcPr>
          <w:p>
            <w:pPr>
              <w:jc w:val="left"/>
            </w:pPr>
            <w:r/>
            <w:r>
              <w:rPr>
                <w:b w:val="0"/>
                <w:sz w:val="16"/>
              </w:rPr>
              <w:t>EPIC-10</w:t>
            </w:r>
          </w:p>
        </w:tc>
        <w:tc>
          <w:tcPr>
            <w:tcW w:type="dxa" w:w="3408"/>
            <w:vAlign w:val="top"/>
          </w:tcPr>
          <w:p>
            <w:pPr>
              <w:jc w:val="left"/>
            </w:pPr>
            <w:r/>
            <w:r>
              <w:rPr>
                <w:b w:val="0"/>
                <w:sz w:val="16"/>
              </w:rPr>
              <w:t>Testing and release</w:t>
            </w:r>
          </w:p>
        </w:tc>
        <w:tc>
          <w:tcPr>
            <w:tcW w:type="dxa" w:w="3408"/>
            <w:vAlign w:val="top"/>
          </w:tcPr>
          <w:p>
            <w:pPr>
              <w:jc w:val="left"/>
            </w:pPr>
            <w:r/>
            <w:r>
              <w:rPr>
                <w:b w:val="0"/>
                <w:sz w:val="16"/>
              </w:rPr>
              <w:t>Unit, integration, acceptance, prompt evaluation and regression automation.</w:t>
            </w:r>
          </w:p>
        </w:tc>
      </w:tr>
    </w:tbl>
    <w:p/>
    <w:p>
      <w:pPr>
        <w:pStyle w:val="Heading1"/>
      </w:pPr>
      <w:r>
        <w:t>8. Governance and Ways of Working</w:t>
      </w:r>
    </w:p>
    <w:p>
      <w:pPr>
        <w:pStyle w:val="ListBullet"/>
      </w:pPr>
      <w:r>
        <w:t>Maintain a single product backlog with epics, user stories, acceptance criteria and priority.</w:t>
      </w:r>
    </w:p>
    <w:p>
      <w:pPr>
        <w:pStyle w:val="ListBullet"/>
      </w:pPr>
      <w:r>
        <w:t>Use lightweight architecture decision records for material decisions such as Open Banking provider, hosting platform and AI model usage.</w:t>
      </w:r>
    </w:p>
    <w:p>
      <w:pPr>
        <w:pStyle w:val="ListBullet"/>
      </w:pPr>
      <w:r>
        <w:t>Review security and privacy impacts before adding integrations, external actions or persistent AI memory.</w:t>
      </w:r>
    </w:p>
    <w:p>
      <w:pPr>
        <w:pStyle w:val="ListBullet"/>
      </w:pPr>
      <w:r>
        <w:t>Keep a release checklist covering migrations, secrets, tests, backup, rollback and documentation.</w:t>
      </w:r>
    </w:p>
    <w:p>
      <w:pPr>
        <w:pStyle w:val="ListBullet"/>
      </w:pPr>
      <w:r>
        <w:t>Record AI prompt changes and tool-contract changes because they materially affect product behaviour.</w:t>
      </w:r>
    </w:p>
    <w:p>
      <w:pPr>
        <w:pStyle w:val="Heading1"/>
      </w:pPr>
      <w:r>
        <w:t>9. Quality and Testing Strategy</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12"/>
        <w:gridCol w:w="5112"/>
      </w:tblGrid>
      <w:tr>
        <w:trPr>
          <w:tblHeader w:val="true"/>
        </w:trPr>
        <w:tc>
          <w:tcPr>
            <w:tcW w:type="dxa" w:w="5112"/>
            <w:shd w:fill="1F4E79"/>
            <w:vAlign w:val="top"/>
          </w:tcPr>
          <w:p>
            <w:pPr>
              <w:jc w:val="left"/>
            </w:pPr>
            <w:r/>
            <w:r>
              <w:rPr>
                <w:b/>
                <w:color w:val="FFFFFF"/>
                <w:sz w:val="16"/>
              </w:rPr>
              <w:t>Testing Area</w:t>
            </w:r>
          </w:p>
        </w:tc>
        <w:tc>
          <w:tcPr>
            <w:tcW w:type="dxa" w:w="5112"/>
            <w:shd w:fill="1F4E79"/>
            <w:vAlign w:val="top"/>
          </w:tcPr>
          <w:p>
            <w:pPr>
              <w:jc w:val="left"/>
            </w:pPr>
            <w:r/>
            <w:r>
              <w:rPr>
                <w:b/>
                <w:color w:val="FFFFFF"/>
                <w:sz w:val="16"/>
              </w:rPr>
              <w:t>Approach</w:t>
            </w:r>
          </w:p>
        </w:tc>
      </w:tr>
      <w:tr>
        <w:tc>
          <w:tcPr>
            <w:tcW w:type="dxa" w:w="5112"/>
            <w:vAlign w:val="top"/>
          </w:tcPr>
          <w:p>
            <w:pPr>
              <w:jc w:val="left"/>
            </w:pPr>
            <w:r/>
            <w:r>
              <w:rPr>
                <w:b w:val="0"/>
                <w:sz w:val="16"/>
              </w:rPr>
              <w:t>Unit testing</w:t>
            </w:r>
          </w:p>
        </w:tc>
        <w:tc>
          <w:tcPr>
            <w:tcW w:type="dxa" w:w="5112"/>
            <w:vAlign w:val="top"/>
          </w:tcPr>
          <w:p>
            <w:pPr>
              <w:jc w:val="left"/>
            </w:pPr>
            <w:r/>
            <w:r>
              <w:rPr>
                <w:b w:val="0"/>
                <w:sz w:val="16"/>
              </w:rPr>
              <w:t>Calculation functions for safe-to-spend, budget pace, cashflow forecast, recurring detection and debt scenarios.</w:t>
            </w:r>
          </w:p>
        </w:tc>
      </w:tr>
      <w:tr>
        <w:tc>
          <w:tcPr>
            <w:tcW w:type="dxa" w:w="5112"/>
            <w:vAlign w:val="top"/>
          </w:tcPr>
          <w:p>
            <w:pPr>
              <w:jc w:val="left"/>
            </w:pPr>
            <w:r/>
            <w:r>
              <w:rPr>
                <w:b w:val="0"/>
                <w:sz w:val="16"/>
              </w:rPr>
              <w:t>Integration testing</w:t>
            </w:r>
          </w:p>
        </w:tc>
        <w:tc>
          <w:tcPr>
            <w:tcW w:type="dxa" w:w="5112"/>
            <w:vAlign w:val="top"/>
          </w:tcPr>
          <w:p>
            <w:pPr>
              <w:jc w:val="left"/>
            </w:pPr>
            <w:r/>
            <w:r>
              <w:rPr>
                <w:b w:val="0"/>
                <w:sz w:val="16"/>
              </w:rPr>
              <w:t>CSV import, database writes, API responses, auth boundaries and AI tool calls.</w:t>
            </w:r>
          </w:p>
        </w:tc>
      </w:tr>
      <w:tr>
        <w:tc>
          <w:tcPr>
            <w:tcW w:type="dxa" w:w="5112"/>
            <w:vAlign w:val="top"/>
          </w:tcPr>
          <w:p>
            <w:pPr>
              <w:jc w:val="left"/>
            </w:pPr>
            <w:r/>
            <w:r>
              <w:rPr>
                <w:b w:val="0"/>
                <w:sz w:val="16"/>
              </w:rPr>
              <w:t>Data quality testing</w:t>
            </w:r>
          </w:p>
        </w:tc>
        <w:tc>
          <w:tcPr>
            <w:tcW w:type="dxa" w:w="5112"/>
            <w:vAlign w:val="top"/>
          </w:tcPr>
          <w:p>
            <w:pPr>
              <w:jc w:val="left"/>
            </w:pPr>
            <w:r/>
            <w:r>
              <w:rPr>
                <w:b w:val="0"/>
                <w:sz w:val="16"/>
              </w:rPr>
              <w:t>Duplicate detection, missing date/amount handling, currency validation and category consistency.</w:t>
            </w:r>
          </w:p>
        </w:tc>
      </w:tr>
      <w:tr>
        <w:tc>
          <w:tcPr>
            <w:tcW w:type="dxa" w:w="5112"/>
            <w:vAlign w:val="top"/>
          </w:tcPr>
          <w:p>
            <w:pPr>
              <w:jc w:val="left"/>
            </w:pPr>
            <w:r/>
            <w:r>
              <w:rPr>
                <w:b w:val="0"/>
                <w:sz w:val="16"/>
              </w:rPr>
              <w:t>AI evaluation</w:t>
            </w:r>
          </w:p>
        </w:tc>
        <w:tc>
          <w:tcPr>
            <w:tcW w:type="dxa" w:w="5112"/>
            <w:vAlign w:val="top"/>
          </w:tcPr>
          <w:p>
            <w:pPr>
              <w:jc w:val="left"/>
            </w:pPr>
            <w:r/>
            <w:r>
              <w:rPr>
                <w:b w:val="0"/>
                <w:sz w:val="16"/>
              </w:rPr>
              <w:t>Golden questions for summaries, affordability scenarios, hallucination checks and refusal/approval boundaries.</w:t>
            </w:r>
          </w:p>
        </w:tc>
      </w:tr>
      <w:tr>
        <w:tc>
          <w:tcPr>
            <w:tcW w:type="dxa" w:w="5112"/>
            <w:vAlign w:val="top"/>
          </w:tcPr>
          <w:p>
            <w:pPr>
              <w:jc w:val="left"/>
            </w:pPr>
            <w:r/>
            <w:r>
              <w:rPr>
                <w:b w:val="0"/>
                <w:sz w:val="16"/>
              </w:rPr>
              <w:t>Security testing</w:t>
            </w:r>
          </w:p>
        </w:tc>
        <w:tc>
          <w:tcPr>
            <w:tcW w:type="dxa" w:w="5112"/>
            <w:vAlign w:val="top"/>
          </w:tcPr>
          <w:p>
            <w:pPr>
              <w:jc w:val="left"/>
            </w:pPr>
            <w:r/>
            <w:r>
              <w:rPr>
                <w:b w:val="0"/>
                <w:sz w:val="16"/>
              </w:rPr>
              <w:t>Secrets handling, access control, log redaction, token storage and dependency scanning.</w:t>
            </w:r>
          </w:p>
        </w:tc>
      </w:tr>
      <w:tr>
        <w:tc>
          <w:tcPr>
            <w:tcW w:type="dxa" w:w="5112"/>
            <w:vAlign w:val="top"/>
          </w:tcPr>
          <w:p>
            <w:pPr>
              <w:jc w:val="left"/>
            </w:pPr>
            <w:r/>
            <w:r>
              <w:rPr>
                <w:b w:val="0"/>
                <w:sz w:val="16"/>
              </w:rPr>
              <w:t>UAT</w:t>
            </w:r>
          </w:p>
        </w:tc>
        <w:tc>
          <w:tcPr>
            <w:tcW w:type="dxa" w:w="5112"/>
            <w:vAlign w:val="top"/>
          </w:tcPr>
          <w:p>
            <w:pPr>
              <w:jc w:val="left"/>
            </w:pPr>
            <w:r/>
            <w:r>
              <w:rPr>
                <w:b w:val="0"/>
                <w:sz w:val="16"/>
              </w:rPr>
              <w:t>End-to-end flows: import transactions, categorise, review dashboard, ask AI, create budget, review alerts.</w:t>
            </w:r>
          </w:p>
        </w:tc>
      </w:tr>
      <w:tr>
        <w:tc>
          <w:tcPr>
            <w:tcW w:type="dxa" w:w="5112"/>
            <w:vAlign w:val="top"/>
          </w:tcPr>
          <w:p>
            <w:pPr>
              <w:jc w:val="left"/>
            </w:pPr>
            <w:r/>
            <w:r>
              <w:rPr>
                <w:b w:val="0"/>
                <w:sz w:val="16"/>
              </w:rPr>
              <w:t>Regression testing</w:t>
            </w:r>
          </w:p>
        </w:tc>
        <w:tc>
          <w:tcPr>
            <w:tcW w:type="dxa" w:w="5112"/>
            <w:vAlign w:val="top"/>
          </w:tcPr>
          <w:p>
            <w:pPr>
              <w:jc w:val="left"/>
            </w:pPr>
            <w:r/>
            <w:r>
              <w:rPr>
                <w:b w:val="0"/>
                <w:sz w:val="16"/>
              </w:rPr>
              <w:t>Automated test suite before each release with seed data and expected financial outputs.</w:t>
            </w:r>
          </w:p>
        </w:tc>
      </w:tr>
    </w:tbl>
    <w:p/>
    <w:p>
      <w:pPr>
        <w:pStyle w:val="Heading1"/>
      </w:pPr>
      <w:r>
        <w:t>10. Risks, Assumptions, Issues and Dependencies</w:t>
      </w:r>
    </w:p>
    <w:p>
      <w:pPr>
        <w:pStyle w:val="Heading2"/>
      </w:pPr>
      <w:r>
        <w:t>10.1 Key Assumptions</w:t>
      </w:r>
    </w:p>
    <w:p>
      <w:pPr>
        <w:pStyle w:val="ListBullet"/>
      </w:pPr>
      <w:r>
        <w:t>Initial product is for private personal use and learning, with one primary user.</w:t>
      </w:r>
    </w:p>
    <w:p>
      <w:pPr>
        <w:pStyle w:val="ListBullet"/>
      </w:pPr>
      <w:r>
        <w:t>CSV import is acceptable for MVP validation before Open Banking integration.</w:t>
      </w:r>
    </w:p>
    <w:p>
      <w:pPr>
        <w:pStyle w:val="ListBullet"/>
      </w:pPr>
      <w:r>
        <w:t>Open Banking provider selection will happen after the manual MVP proves data and UX requirements.</w:t>
      </w:r>
    </w:p>
    <w:p>
      <w:pPr>
        <w:pStyle w:val="ListBullet"/>
      </w:pPr>
      <w:r>
        <w:t>The OpenAI API or business-grade OpenAI services are preferred for sensitive data workflows because customer inputs and outputs are not used for model training by default unless opted in.</w:t>
      </w:r>
    </w:p>
    <w:p>
      <w:pPr>
        <w:pStyle w:val="ListBullet"/>
      </w:pPr>
      <w:r>
        <w:t>The system will use read-only financial data first. Any payment initiation or provider action will be handled as future scope with explicit approval.</w:t>
      </w:r>
    </w:p>
    <w:p>
      <w:pPr>
        <w:pStyle w:val="Heading2"/>
      </w:pPr>
      <w:r>
        <w:t>10.2 Risk Register</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56"/>
        <w:gridCol w:w="2556"/>
        <w:gridCol w:w="2556"/>
        <w:gridCol w:w="2556"/>
      </w:tblGrid>
      <w:tr>
        <w:trPr>
          <w:tblHeader w:val="true"/>
        </w:trPr>
        <w:tc>
          <w:tcPr>
            <w:tcW w:type="dxa" w:w="2556"/>
            <w:shd w:fill="1F4E79"/>
            <w:vAlign w:val="top"/>
          </w:tcPr>
          <w:p>
            <w:pPr>
              <w:jc w:val="left"/>
            </w:pPr>
            <w:r/>
            <w:r>
              <w:rPr>
                <w:b/>
                <w:color w:val="FFFFFF"/>
                <w:sz w:val="16"/>
              </w:rPr>
              <w:t>ID</w:t>
            </w:r>
          </w:p>
        </w:tc>
        <w:tc>
          <w:tcPr>
            <w:tcW w:type="dxa" w:w="2556"/>
            <w:shd w:fill="1F4E79"/>
            <w:vAlign w:val="top"/>
          </w:tcPr>
          <w:p>
            <w:pPr>
              <w:jc w:val="left"/>
            </w:pPr>
            <w:r/>
            <w:r>
              <w:rPr>
                <w:b/>
                <w:color w:val="FFFFFF"/>
                <w:sz w:val="16"/>
              </w:rPr>
              <w:t>Risk</w:t>
            </w:r>
          </w:p>
        </w:tc>
        <w:tc>
          <w:tcPr>
            <w:tcW w:type="dxa" w:w="2556"/>
            <w:shd w:fill="1F4E79"/>
            <w:vAlign w:val="top"/>
          </w:tcPr>
          <w:p>
            <w:pPr>
              <w:jc w:val="left"/>
            </w:pPr>
            <w:r/>
            <w:r>
              <w:rPr>
                <w:b/>
                <w:color w:val="FFFFFF"/>
                <w:sz w:val="16"/>
              </w:rPr>
              <w:t>Rating</w:t>
            </w:r>
          </w:p>
        </w:tc>
        <w:tc>
          <w:tcPr>
            <w:tcW w:type="dxa" w:w="2556"/>
            <w:shd w:fill="1F4E79"/>
            <w:vAlign w:val="top"/>
          </w:tcPr>
          <w:p>
            <w:pPr>
              <w:jc w:val="left"/>
            </w:pPr>
            <w:r/>
            <w:r>
              <w:rPr>
                <w:b/>
                <w:color w:val="FFFFFF"/>
                <w:sz w:val="16"/>
              </w:rPr>
              <w:t>Mitigation</w:t>
            </w:r>
          </w:p>
        </w:tc>
      </w:tr>
      <w:tr>
        <w:tc>
          <w:tcPr>
            <w:tcW w:type="dxa" w:w="2556"/>
            <w:vAlign w:val="top"/>
          </w:tcPr>
          <w:p>
            <w:pPr>
              <w:jc w:val="left"/>
            </w:pPr>
            <w:r/>
            <w:r>
              <w:rPr>
                <w:b w:val="0"/>
                <w:sz w:val="16"/>
              </w:rPr>
              <w:t>R-01</w:t>
            </w:r>
          </w:p>
        </w:tc>
        <w:tc>
          <w:tcPr>
            <w:tcW w:type="dxa" w:w="2556"/>
            <w:vAlign w:val="top"/>
          </w:tcPr>
          <w:p>
            <w:pPr>
              <w:jc w:val="left"/>
            </w:pPr>
            <w:r/>
            <w:r>
              <w:rPr>
                <w:b w:val="0"/>
                <w:sz w:val="16"/>
              </w:rPr>
              <w:t>Sensitive financial data exposure</w:t>
            </w:r>
          </w:p>
        </w:tc>
        <w:tc>
          <w:tcPr>
            <w:tcW w:type="dxa" w:w="2556"/>
            <w:vAlign w:val="top"/>
          </w:tcPr>
          <w:p>
            <w:pPr>
              <w:jc w:val="left"/>
            </w:pPr>
            <w:r/>
            <w:r>
              <w:rPr>
                <w:b w:val="0"/>
                <w:sz w:val="16"/>
              </w:rPr>
              <w:t>High</w:t>
            </w:r>
          </w:p>
        </w:tc>
        <w:tc>
          <w:tcPr>
            <w:tcW w:type="dxa" w:w="2556"/>
            <w:vAlign w:val="top"/>
          </w:tcPr>
          <w:p>
            <w:pPr>
              <w:jc w:val="left"/>
            </w:pPr>
            <w:r/>
            <w:r>
              <w:rPr>
                <w:b w:val="0"/>
                <w:sz w:val="16"/>
              </w:rPr>
              <w:t>Minimise data sent to AI, encrypt storage, redact logs, use API/business privacy defaults, apply least privilege.</w:t>
            </w:r>
          </w:p>
        </w:tc>
      </w:tr>
      <w:tr>
        <w:tc>
          <w:tcPr>
            <w:tcW w:type="dxa" w:w="2556"/>
            <w:vAlign w:val="top"/>
          </w:tcPr>
          <w:p>
            <w:pPr>
              <w:jc w:val="left"/>
            </w:pPr>
            <w:r/>
            <w:r>
              <w:rPr>
                <w:b w:val="0"/>
                <w:sz w:val="16"/>
              </w:rPr>
              <w:t>R-02</w:t>
            </w:r>
          </w:p>
        </w:tc>
        <w:tc>
          <w:tcPr>
            <w:tcW w:type="dxa" w:w="2556"/>
            <w:vAlign w:val="top"/>
          </w:tcPr>
          <w:p>
            <w:pPr>
              <w:jc w:val="left"/>
            </w:pPr>
            <w:r/>
            <w:r>
              <w:rPr>
                <w:b w:val="0"/>
                <w:sz w:val="16"/>
              </w:rPr>
              <w:t>AI hallucination or incorrect advice</w:t>
            </w:r>
          </w:p>
        </w:tc>
        <w:tc>
          <w:tcPr>
            <w:tcW w:type="dxa" w:w="2556"/>
            <w:vAlign w:val="top"/>
          </w:tcPr>
          <w:p>
            <w:pPr>
              <w:jc w:val="left"/>
            </w:pPr>
            <w:r/>
            <w:r>
              <w:rPr>
                <w:b w:val="0"/>
                <w:sz w:val="16"/>
              </w:rPr>
              <w:t>High</w:t>
            </w:r>
          </w:p>
        </w:tc>
        <w:tc>
          <w:tcPr>
            <w:tcW w:type="dxa" w:w="2556"/>
            <w:vAlign w:val="top"/>
          </w:tcPr>
          <w:p>
            <w:pPr>
              <w:jc w:val="left"/>
            </w:pPr>
            <w:r/>
            <w:r>
              <w:rPr>
                <w:b w:val="0"/>
                <w:sz w:val="16"/>
              </w:rPr>
              <w:t>Ground AI with tools, show calculations, restrict regulated topics, test golden prompts and keep user approval.</w:t>
            </w:r>
          </w:p>
        </w:tc>
      </w:tr>
      <w:tr>
        <w:tc>
          <w:tcPr>
            <w:tcW w:type="dxa" w:w="2556"/>
            <w:vAlign w:val="top"/>
          </w:tcPr>
          <w:p>
            <w:pPr>
              <w:jc w:val="left"/>
            </w:pPr>
            <w:r/>
            <w:r>
              <w:rPr>
                <w:b w:val="0"/>
                <w:sz w:val="16"/>
              </w:rPr>
              <w:t>R-03</w:t>
            </w:r>
          </w:p>
        </w:tc>
        <w:tc>
          <w:tcPr>
            <w:tcW w:type="dxa" w:w="2556"/>
            <w:vAlign w:val="top"/>
          </w:tcPr>
          <w:p>
            <w:pPr>
              <w:jc w:val="left"/>
            </w:pPr>
            <w:r/>
            <w:r>
              <w:rPr>
                <w:b w:val="0"/>
                <w:sz w:val="16"/>
              </w:rPr>
              <w:t>Regulated financial advice boundary</w:t>
            </w:r>
          </w:p>
        </w:tc>
        <w:tc>
          <w:tcPr>
            <w:tcW w:type="dxa" w:w="2556"/>
            <w:vAlign w:val="top"/>
          </w:tcPr>
          <w:p>
            <w:pPr>
              <w:jc w:val="left"/>
            </w:pPr>
            <w:r/>
            <w:r>
              <w:rPr>
                <w:b w:val="0"/>
                <w:sz w:val="16"/>
              </w:rPr>
              <w:t>High</w:t>
            </w:r>
          </w:p>
        </w:tc>
        <w:tc>
          <w:tcPr>
            <w:tcW w:type="dxa" w:w="2556"/>
            <w:vAlign w:val="top"/>
          </w:tcPr>
          <w:p>
            <w:pPr>
              <w:jc w:val="left"/>
            </w:pPr>
            <w:r/>
            <w:r>
              <w:rPr>
                <w:b w:val="0"/>
                <w:sz w:val="16"/>
              </w:rPr>
              <w:t>Provide education, summaries and scenarios; escalate investments/pensions/mortgages/debt solutions to qualified professionals.</w:t>
            </w:r>
          </w:p>
        </w:tc>
      </w:tr>
      <w:tr>
        <w:tc>
          <w:tcPr>
            <w:tcW w:type="dxa" w:w="2556"/>
            <w:vAlign w:val="top"/>
          </w:tcPr>
          <w:p>
            <w:pPr>
              <w:jc w:val="left"/>
            </w:pPr>
            <w:r/>
            <w:r>
              <w:rPr>
                <w:b w:val="0"/>
                <w:sz w:val="16"/>
              </w:rPr>
              <w:t>R-04</w:t>
            </w:r>
          </w:p>
        </w:tc>
        <w:tc>
          <w:tcPr>
            <w:tcW w:type="dxa" w:w="2556"/>
            <w:vAlign w:val="top"/>
          </w:tcPr>
          <w:p>
            <w:pPr>
              <w:jc w:val="left"/>
            </w:pPr>
            <w:r/>
            <w:r>
              <w:rPr>
                <w:b w:val="0"/>
                <w:sz w:val="16"/>
              </w:rPr>
              <w:t>Open Banking integration complexity</w:t>
            </w:r>
          </w:p>
        </w:tc>
        <w:tc>
          <w:tcPr>
            <w:tcW w:type="dxa" w:w="2556"/>
            <w:vAlign w:val="top"/>
          </w:tcPr>
          <w:p>
            <w:pPr>
              <w:jc w:val="left"/>
            </w:pPr>
            <w:r/>
            <w:r>
              <w:rPr>
                <w:b w:val="0"/>
                <w:sz w:val="16"/>
              </w:rPr>
              <w:t>Medium</w:t>
            </w:r>
          </w:p>
        </w:tc>
        <w:tc>
          <w:tcPr>
            <w:tcW w:type="dxa" w:w="2556"/>
            <w:vAlign w:val="top"/>
          </w:tcPr>
          <w:p>
            <w:pPr>
              <w:jc w:val="left"/>
            </w:pPr>
            <w:r/>
            <w:r>
              <w:rPr>
                <w:b w:val="0"/>
                <w:sz w:val="16"/>
              </w:rPr>
              <w:t>Start with one provider sandbox, isolate provider adapter, keep CSV import as fallback.</w:t>
            </w:r>
          </w:p>
        </w:tc>
      </w:tr>
      <w:tr>
        <w:tc>
          <w:tcPr>
            <w:tcW w:type="dxa" w:w="2556"/>
            <w:vAlign w:val="top"/>
          </w:tcPr>
          <w:p>
            <w:pPr>
              <w:jc w:val="left"/>
            </w:pPr>
            <w:r/>
            <w:r>
              <w:rPr>
                <w:b w:val="0"/>
                <w:sz w:val="16"/>
              </w:rPr>
              <w:t>R-05</w:t>
            </w:r>
          </w:p>
        </w:tc>
        <w:tc>
          <w:tcPr>
            <w:tcW w:type="dxa" w:w="2556"/>
            <w:vAlign w:val="top"/>
          </w:tcPr>
          <w:p>
            <w:pPr>
              <w:jc w:val="left"/>
            </w:pPr>
            <w:r/>
            <w:r>
              <w:rPr>
                <w:b w:val="0"/>
                <w:sz w:val="16"/>
              </w:rPr>
              <w:t>Incorrect transaction categorisation</w:t>
            </w:r>
          </w:p>
        </w:tc>
        <w:tc>
          <w:tcPr>
            <w:tcW w:type="dxa" w:w="2556"/>
            <w:vAlign w:val="top"/>
          </w:tcPr>
          <w:p>
            <w:pPr>
              <w:jc w:val="left"/>
            </w:pPr>
            <w:r/>
            <w:r>
              <w:rPr>
                <w:b w:val="0"/>
                <w:sz w:val="16"/>
              </w:rPr>
              <w:t>Medium</w:t>
            </w:r>
          </w:p>
        </w:tc>
        <w:tc>
          <w:tcPr>
            <w:tcW w:type="dxa" w:w="2556"/>
            <w:vAlign w:val="top"/>
          </w:tcPr>
          <w:p>
            <w:pPr>
              <w:jc w:val="left"/>
            </w:pPr>
            <w:r/>
            <w:r>
              <w:rPr>
                <w:b w:val="0"/>
                <w:sz w:val="16"/>
              </w:rPr>
              <w:t>Use review workflow, merchant rules, confidence scores and user override learning.</w:t>
            </w:r>
          </w:p>
        </w:tc>
      </w:tr>
      <w:tr>
        <w:tc>
          <w:tcPr>
            <w:tcW w:type="dxa" w:w="2556"/>
            <w:vAlign w:val="top"/>
          </w:tcPr>
          <w:p>
            <w:pPr>
              <w:jc w:val="left"/>
            </w:pPr>
            <w:r/>
            <w:r>
              <w:rPr>
                <w:b w:val="0"/>
                <w:sz w:val="16"/>
              </w:rPr>
              <w:t>R-06</w:t>
            </w:r>
          </w:p>
        </w:tc>
        <w:tc>
          <w:tcPr>
            <w:tcW w:type="dxa" w:w="2556"/>
            <w:vAlign w:val="top"/>
          </w:tcPr>
          <w:p>
            <w:pPr>
              <w:jc w:val="left"/>
            </w:pPr>
            <w:r/>
            <w:r>
              <w:rPr>
                <w:b w:val="0"/>
                <w:sz w:val="16"/>
              </w:rPr>
              <w:t>Dashboard becomes too complex</w:t>
            </w:r>
          </w:p>
        </w:tc>
        <w:tc>
          <w:tcPr>
            <w:tcW w:type="dxa" w:w="2556"/>
            <w:vAlign w:val="top"/>
          </w:tcPr>
          <w:p>
            <w:pPr>
              <w:jc w:val="left"/>
            </w:pPr>
            <w:r/>
            <w:r>
              <w:rPr>
                <w:b w:val="0"/>
                <w:sz w:val="16"/>
              </w:rPr>
              <w:t>Medium</w:t>
            </w:r>
          </w:p>
        </w:tc>
        <w:tc>
          <w:tcPr>
            <w:tcW w:type="dxa" w:w="2556"/>
            <w:vAlign w:val="top"/>
          </w:tcPr>
          <w:p>
            <w:pPr>
              <w:jc w:val="left"/>
            </w:pPr>
            <w:r/>
            <w:r>
              <w:rPr>
                <w:b w:val="0"/>
                <w:sz w:val="16"/>
              </w:rPr>
              <w:t>Prioritise cash today, upcoming bills, budget health, goals and next action on the home page.</w:t>
            </w:r>
          </w:p>
        </w:tc>
      </w:tr>
      <w:tr>
        <w:tc>
          <w:tcPr>
            <w:tcW w:type="dxa" w:w="2556"/>
            <w:vAlign w:val="top"/>
          </w:tcPr>
          <w:p>
            <w:pPr>
              <w:jc w:val="left"/>
            </w:pPr>
            <w:r/>
            <w:r>
              <w:rPr>
                <w:b w:val="0"/>
                <w:sz w:val="16"/>
              </w:rPr>
              <w:t>R-07</w:t>
            </w:r>
          </w:p>
        </w:tc>
        <w:tc>
          <w:tcPr>
            <w:tcW w:type="dxa" w:w="2556"/>
            <w:vAlign w:val="top"/>
          </w:tcPr>
          <w:p>
            <w:pPr>
              <w:jc w:val="left"/>
            </w:pPr>
            <w:r/>
            <w:r>
              <w:rPr>
                <w:b w:val="0"/>
                <w:sz w:val="16"/>
              </w:rPr>
              <w:t>Vendor lock-in</w:t>
            </w:r>
          </w:p>
        </w:tc>
        <w:tc>
          <w:tcPr>
            <w:tcW w:type="dxa" w:w="2556"/>
            <w:vAlign w:val="top"/>
          </w:tcPr>
          <w:p>
            <w:pPr>
              <w:jc w:val="left"/>
            </w:pPr>
            <w:r/>
            <w:r>
              <w:rPr>
                <w:b w:val="0"/>
                <w:sz w:val="16"/>
              </w:rPr>
              <w:t>Medium</w:t>
            </w:r>
          </w:p>
        </w:tc>
        <w:tc>
          <w:tcPr>
            <w:tcW w:type="dxa" w:w="2556"/>
            <w:vAlign w:val="top"/>
          </w:tcPr>
          <w:p>
            <w:pPr>
              <w:jc w:val="left"/>
            </w:pPr>
            <w:r/>
            <w:r>
              <w:rPr>
                <w:b w:val="0"/>
                <w:sz w:val="16"/>
              </w:rPr>
              <w:t>Abstract Open Banking provider and AI model behind internal interfaces.</w:t>
            </w:r>
          </w:p>
        </w:tc>
      </w:tr>
      <w:tr>
        <w:tc>
          <w:tcPr>
            <w:tcW w:type="dxa" w:w="2556"/>
            <w:vAlign w:val="top"/>
          </w:tcPr>
          <w:p>
            <w:pPr>
              <w:jc w:val="left"/>
            </w:pPr>
            <w:r/>
            <w:r>
              <w:rPr>
                <w:b w:val="0"/>
                <w:sz w:val="16"/>
              </w:rPr>
              <w:t>R-08</w:t>
            </w:r>
          </w:p>
        </w:tc>
        <w:tc>
          <w:tcPr>
            <w:tcW w:type="dxa" w:w="2556"/>
            <w:vAlign w:val="top"/>
          </w:tcPr>
          <w:p>
            <w:pPr>
              <w:jc w:val="left"/>
            </w:pPr>
            <w:r/>
            <w:r>
              <w:rPr>
                <w:b w:val="0"/>
                <w:sz w:val="16"/>
              </w:rPr>
              <w:t>Cost growth</w:t>
            </w:r>
          </w:p>
        </w:tc>
        <w:tc>
          <w:tcPr>
            <w:tcW w:type="dxa" w:w="2556"/>
            <w:vAlign w:val="top"/>
          </w:tcPr>
          <w:p>
            <w:pPr>
              <w:jc w:val="left"/>
            </w:pPr>
            <w:r/>
            <w:r>
              <w:rPr>
                <w:b w:val="0"/>
                <w:sz w:val="16"/>
              </w:rPr>
              <w:t>Low</w:t>
            </w:r>
          </w:p>
        </w:tc>
        <w:tc>
          <w:tcPr>
            <w:tcW w:type="dxa" w:w="2556"/>
            <w:vAlign w:val="top"/>
          </w:tcPr>
          <w:p>
            <w:pPr>
              <w:jc w:val="left"/>
            </w:pPr>
            <w:r/>
            <w:r>
              <w:rPr>
                <w:b w:val="0"/>
                <w:sz w:val="16"/>
              </w:rPr>
              <w:t>Cache summaries, limit AI context, use batch jobs and monitor usage.</w:t>
            </w:r>
          </w:p>
        </w:tc>
      </w:tr>
    </w:tbl>
    <w:p/>
    <w:p>
      <w:pPr>
        <w:pStyle w:val="Heading2"/>
      </w:pPr>
      <w:r>
        <w:t>10.3 Dependencies</w:t>
      </w:r>
    </w:p>
    <w:p>
      <w:pPr>
        <w:pStyle w:val="ListBullet"/>
      </w:pPr>
      <w:r>
        <w:t>Access to representative CSV exports from current accounts and credit cards.</w:t>
      </w:r>
    </w:p>
    <w:p>
      <w:pPr>
        <w:pStyle w:val="ListBullet"/>
      </w:pPr>
      <w:r>
        <w:t>OpenAI API access and budget for AI calls.</w:t>
      </w:r>
    </w:p>
    <w:p>
      <w:pPr>
        <w:pStyle w:val="ListBullet"/>
      </w:pPr>
      <w:r>
        <w:t>Supabase or equivalent database/auth environment.</w:t>
      </w:r>
    </w:p>
    <w:p>
      <w:pPr>
        <w:pStyle w:val="ListBullet"/>
      </w:pPr>
      <w:r>
        <w:t>Open Banking provider sandbox credentials for Phase 4.</w:t>
      </w:r>
    </w:p>
    <w:p>
      <w:pPr>
        <w:pStyle w:val="ListBullet"/>
      </w:pPr>
      <w:r>
        <w:t>Secure hosting and secret management for private beta.</w:t>
      </w:r>
    </w:p>
    <w:p>
      <w:pPr>
        <w:pStyle w:val="Heading1"/>
      </w:pPr>
      <w:r>
        <w:t>11. Success Measures</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08"/>
        <w:gridCol w:w="3408"/>
        <w:gridCol w:w="3408"/>
      </w:tblGrid>
      <w:tr>
        <w:trPr>
          <w:tblHeader w:val="true"/>
        </w:trPr>
        <w:tc>
          <w:tcPr>
            <w:tcW w:type="dxa" w:w="3408"/>
            <w:shd w:fill="1F4E79"/>
            <w:vAlign w:val="top"/>
          </w:tcPr>
          <w:p>
            <w:pPr>
              <w:jc w:val="left"/>
            </w:pPr>
            <w:r/>
            <w:r>
              <w:rPr>
                <w:b/>
                <w:color w:val="FFFFFF"/>
                <w:sz w:val="16"/>
              </w:rPr>
              <w:t>Measure</w:t>
            </w:r>
          </w:p>
        </w:tc>
        <w:tc>
          <w:tcPr>
            <w:tcW w:type="dxa" w:w="3408"/>
            <w:shd w:fill="1F4E79"/>
            <w:vAlign w:val="top"/>
          </w:tcPr>
          <w:p>
            <w:pPr>
              <w:jc w:val="left"/>
            </w:pPr>
            <w:r/>
            <w:r>
              <w:rPr>
                <w:b/>
                <w:color w:val="FFFFFF"/>
                <w:sz w:val="16"/>
              </w:rPr>
              <w:t>Name</w:t>
            </w:r>
          </w:p>
        </w:tc>
        <w:tc>
          <w:tcPr>
            <w:tcW w:type="dxa" w:w="3408"/>
            <w:shd w:fill="1F4E79"/>
            <w:vAlign w:val="top"/>
          </w:tcPr>
          <w:p>
            <w:pPr>
              <w:jc w:val="left"/>
            </w:pPr>
            <w:r/>
            <w:r>
              <w:rPr>
                <w:b/>
                <w:color w:val="FFFFFF"/>
                <w:sz w:val="16"/>
              </w:rPr>
              <w:t>Target</w:t>
            </w:r>
          </w:p>
        </w:tc>
      </w:tr>
      <w:tr>
        <w:tc>
          <w:tcPr>
            <w:tcW w:type="dxa" w:w="3408"/>
            <w:vAlign w:val="top"/>
          </w:tcPr>
          <w:p>
            <w:pPr>
              <w:jc w:val="left"/>
            </w:pPr>
            <w:r/>
            <w:r>
              <w:rPr>
                <w:b w:val="0"/>
                <w:sz w:val="16"/>
              </w:rPr>
              <w:t>SM-01</w:t>
            </w:r>
          </w:p>
        </w:tc>
        <w:tc>
          <w:tcPr>
            <w:tcW w:type="dxa" w:w="3408"/>
            <w:vAlign w:val="top"/>
          </w:tcPr>
          <w:p>
            <w:pPr>
              <w:jc w:val="left"/>
            </w:pPr>
            <w:r/>
            <w:r>
              <w:rPr>
                <w:b w:val="0"/>
                <w:sz w:val="16"/>
              </w:rPr>
              <w:t>Daily answer speed</w:t>
            </w:r>
          </w:p>
        </w:tc>
        <w:tc>
          <w:tcPr>
            <w:tcW w:type="dxa" w:w="3408"/>
            <w:vAlign w:val="top"/>
          </w:tcPr>
          <w:p>
            <w:pPr>
              <w:jc w:val="left"/>
            </w:pPr>
            <w:r/>
            <w:r>
              <w:rPr>
                <w:b w:val="0"/>
                <w:sz w:val="16"/>
              </w:rPr>
              <w:t>User can understand safe-to-spend and upcoming bills within 30 seconds of opening dashboard.</w:t>
            </w:r>
          </w:p>
        </w:tc>
      </w:tr>
      <w:tr>
        <w:tc>
          <w:tcPr>
            <w:tcW w:type="dxa" w:w="3408"/>
            <w:vAlign w:val="top"/>
          </w:tcPr>
          <w:p>
            <w:pPr>
              <w:jc w:val="left"/>
            </w:pPr>
            <w:r/>
            <w:r>
              <w:rPr>
                <w:b w:val="0"/>
                <w:sz w:val="16"/>
              </w:rPr>
              <w:t>SM-02</w:t>
            </w:r>
          </w:p>
        </w:tc>
        <w:tc>
          <w:tcPr>
            <w:tcW w:type="dxa" w:w="3408"/>
            <w:vAlign w:val="top"/>
          </w:tcPr>
          <w:p>
            <w:pPr>
              <w:jc w:val="left"/>
            </w:pPr>
            <w:r/>
            <w:r>
              <w:rPr>
                <w:b w:val="0"/>
                <w:sz w:val="16"/>
              </w:rPr>
              <w:t>Data completeness</w:t>
            </w:r>
          </w:p>
        </w:tc>
        <w:tc>
          <w:tcPr>
            <w:tcW w:type="dxa" w:w="3408"/>
            <w:vAlign w:val="top"/>
          </w:tcPr>
          <w:p>
            <w:pPr>
              <w:jc w:val="left"/>
            </w:pPr>
            <w:r/>
            <w:r>
              <w:rPr>
                <w:b w:val="0"/>
                <w:sz w:val="16"/>
              </w:rPr>
              <w:t>At least 95% of imported transactions have date, amount, account and category after review.</w:t>
            </w:r>
          </w:p>
        </w:tc>
      </w:tr>
      <w:tr>
        <w:tc>
          <w:tcPr>
            <w:tcW w:type="dxa" w:w="3408"/>
            <w:vAlign w:val="top"/>
          </w:tcPr>
          <w:p>
            <w:pPr>
              <w:jc w:val="left"/>
            </w:pPr>
            <w:r/>
            <w:r>
              <w:rPr>
                <w:b w:val="0"/>
                <w:sz w:val="16"/>
              </w:rPr>
              <w:t>SM-03</w:t>
            </w:r>
          </w:p>
        </w:tc>
        <w:tc>
          <w:tcPr>
            <w:tcW w:type="dxa" w:w="3408"/>
            <w:vAlign w:val="top"/>
          </w:tcPr>
          <w:p>
            <w:pPr>
              <w:jc w:val="left"/>
            </w:pPr>
            <w:r/>
            <w:r>
              <w:rPr>
                <w:b w:val="0"/>
                <w:sz w:val="16"/>
              </w:rPr>
              <w:t>Categorisation quality</w:t>
            </w:r>
          </w:p>
        </w:tc>
        <w:tc>
          <w:tcPr>
            <w:tcW w:type="dxa" w:w="3408"/>
            <w:vAlign w:val="top"/>
          </w:tcPr>
          <w:p>
            <w:pPr>
              <w:jc w:val="left"/>
            </w:pPr>
            <w:r/>
            <w:r>
              <w:rPr>
                <w:b w:val="0"/>
                <w:sz w:val="16"/>
              </w:rPr>
              <w:t>At least 85% of recurring merchants are auto-categorised correctly after rules are created.</w:t>
            </w:r>
          </w:p>
        </w:tc>
      </w:tr>
      <w:tr>
        <w:tc>
          <w:tcPr>
            <w:tcW w:type="dxa" w:w="3408"/>
            <w:vAlign w:val="top"/>
          </w:tcPr>
          <w:p>
            <w:pPr>
              <w:jc w:val="left"/>
            </w:pPr>
            <w:r/>
            <w:r>
              <w:rPr>
                <w:b w:val="0"/>
                <w:sz w:val="16"/>
              </w:rPr>
              <w:t>SM-04</w:t>
            </w:r>
          </w:p>
        </w:tc>
        <w:tc>
          <w:tcPr>
            <w:tcW w:type="dxa" w:w="3408"/>
            <w:vAlign w:val="top"/>
          </w:tcPr>
          <w:p>
            <w:pPr>
              <w:jc w:val="left"/>
            </w:pPr>
            <w:r/>
            <w:r>
              <w:rPr>
                <w:b w:val="0"/>
                <w:sz w:val="16"/>
              </w:rPr>
              <w:t>Forecast usefulness</w:t>
            </w:r>
          </w:p>
        </w:tc>
        <w:tc>
          <w:tcPr>
            <w:tcW w:type="dxa" w:w="3408"/>
            <w:vAlign w:val="top"/>
          </w:tcPr>
          <w:p>
            <w:pPr>
              <w:jc w:val="left"/>
            </w:pPr>
            <w:r/>
            <w:r>
              <w:rPr>
                <w:b w:val="0"/>
                <w:sz w:val="16"/>
              </w:rPr>
              <w:t>Cashflow projection highlights known low-balance risks at least 7 days ahead.</w:t>
            </w:r>
          </w:p>
        </w:tc>
      </w:tr>
      <w:tr>
        <w:tc>
          <w:tcPr>
            <w:tcW w:type="dxa" w:w="3408"/>
            <w:vAlign w:val="top"/>
          </w:tcPr>
          <w:p>
            <w:pPr>
              <w:jc w:val="left"/>
            </w:pPr>
            <w:r/>
            <w:r>
              <w:rPr>
                <w:b w:val="0"/>
                <w:sz w:val="16"/>
              </w:rPr>
              <w:t>SM-05</w:t>
            </w:r>
          </w:p>
        </w:tc>
        <w:tc>
          <w:tcPr>
            <w:tcW w:type="dxa" w:w="3408"/>
            <w:vAlign w:val="top"/>
          </w:tcPr>
          <w:p>
            <w:pPr>
              <w:jc w:val="left"/>
            </w:pPr>
            <w:r/>
            <w:r>
              <w:rPr>
                <w:b w:val="0"/>
                <w:sz w:val="16"/>
              </w:rPr>
              <w:t>AI groundedness</w:t>
            </w:r>
          </w:p>
        </w:tc>
        <w:tc>
          <w:tcPr>
            <w:tcW w:type="dxa" w:w="3408"/>
            <w:vAlign w:val="top"/>
          </w:tcPr>
          <w:p>
            <w:pPr>
              <w:jc w:val="left"/>
            </w:pPr>
            <w:r/>
            <w:r>
              <w:rPr>
                <w:b w:val="0"/>
                <w:sz w:val="16"/>
              </w:rPr>
              <w:t>AI responses cite dashboard figures and tool outputs rather than inventing values.</w:t>
            </w:r>
          </w:p>
        </w:tc>
      </w:tr>
      <w:tr>
        <w:tc>
          <w:tcPr>
            <w:tcW w:type="dxa" w:w="3408"/>
            <w:vAlign w:val="top"/>
          </w:tcPr>
          <w:p>
            <w:pPr>
              <w:jc w:val="left"/>
            </w:pPr>
            <w:r/>
            <w:r>
              <w:rPr>
                <w:b w:val="0"/>
                <w:sz w:val="16"/>
              </w:rPr>
              <w:t>SM-06</w:t>
            </w:r>
          </w:p>
        </w:tc>
        <w:tc>
          <w:tcPr>
            <w:tcW w:type="dxa" w:w="3408"/>
            <w:vAlign w:val="top"/>
          </w:tcPr>
          <w:p>
            <w:pPr>
              <w:jc w:val="left"/>
            </w:pPr>
            <w:r/>
            <w:r>
              <w:rPr>
                <w:b w:val="0"/>
                <w:sz w:val="16"/>
              </w:rPr>
              <w:t>User confidence</w:t>
            </w:r>
          </w:p>
        </w:tc>
        <w:tc>
          <w:tcPr>
            <w:tcW w:type="dxa" w:w="3408"/>
            <w:vAlign w:val="top"/>
          </w:tcPr>
          <w:p>
            <w:pPr>
              <w:jc w:val="left"/>
            </w:pPr>
            <w:r/>
            <w:r>
              <w:rPr>
                <w:b w:val="0"/>
                <w:sz w:val="16"/>
              </w:rPr>
              <w:t>User can explain why the app suggested an action using visible evidence and assumptions.</w:t>
            </w:r>
          </w:p>
        </w:tc>
      </w:tr>
    </w:tbl>
    <w:p/>
    <w:p>
      <w:pPr>
        <w:pStyle w:val="Heading1"/>
      </w:pPr>
      <w:r>
        <w:t>12. MVP Acceptance Criteria</w:t>
      </w:r>
    </w:p>
    <w:p>
      <w:pPr>
        <w:pStyle w:val="ListNumber"/>
      </w:pPr>
      <w:r>
        <w:t>The user can upload a CSV file and see imported transactions assigned to an account.</w:t>
      </w:r>
    </w:p>
    <w:p>
      <w:pPr>
        <w:pStyle w:val="ListNumber"/>
      </w:pPr>
      <w:r>
        <w:t>Duplicate CSV imports do not create duplicate transactions when the same file is imported twice.</w:t>
      </w:r>
    </w:p>
    <w:p>
      <w:pPr>
        <w:pStyle w:val="ListNumber"/>
      </w:pPr>
      <w:r>
        <w:t>The dashboard shows current cash, upcoming bills, safe-to-spend, budget health and goal progress from database values.</w:t>
      </w:r>
    </w:p>
    <w:p>
      <w:pPr>
        <w:pStyle w:val="ListNumber"/>
      </w:pPr>
      <w:r>
        <w:t>The user can edit a transaction category and create a merchant rule for future transactions.</w:t>
      </w:r>
    </w:p>
    <w:p>
      <w:pPr>
        <w:pStyle w:val="ListNumber"/>
      </w:pPr>
      <w:r>
        <w:t>The system detects likely recurring payments and shows them on the bills/subscriptions page.</w:t>
      </w:r>
    </w:p>
    <w:p>
      <w:pPr>
        <w:pStyle w:val="ListNumber"/>
      </w:pPr>
      <w:r>
        <w:t>The AI coach can answer “What changed this month?” using only retrieved transaction, budget and bill data.</w:t>
      </w:r>
    </w:p>
    <w:p>
      <w:pPr>
        <w:pStyle w:val="ListNumber"/>
      </w:pPr>
      <w:r>
        <w:t>The AI coach can answer “Can I afford this?” with visible assumptions, calculations and a recommended next action.</w:t>
      </w:r>
    </w:p>
    <w:p>
      <w:pPr>
        <w:pStyle w:val="ListNumber"/>
      </w:pPr>
      <w:r>
        <w:t>The system records AI insight creation, prompt/tool version and data snapshot reference in an audit log.</w:t>
      </w:r>
    </w:p>
    <w:p>
      <w:pPr>
        <w:pStyle w:val="ListNumber"/>
      </w:pPr>
      <w:r>
        <w:t>Sensitive values are not written to application logs in plain text.</w:t>
      </w:r>
    </w:p>
    <w:p>
      <w:pPr>
        <w:pStyle w:val="ListNumber"/>
      </w:pPr>
      <w:r>
        <w:t>A user can export or delete their local finance data from settings.</w:t>
      </w:r>
    </w:p>
    <w:p>
      <w:pPr>
        <w:pStyle w:val="Heading1"/>
      </w:pPr>
      <w:r>
        <w:t>Appendix: Source References</w:t>
      </w:r>
    </w:p>
    <w:p>
      <w:r>
        <w:t>The documents use the following current public sources as design and architecture inputs. Links were reviewed during preparation on 30 June 2026.</w:t>
      </w:r>
    </w:p>
    <w:tbl>
      <w:tblPr>
        <w:tblW w:type="auto" w:w="0"/>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08"/>
        <w:gridCol w:w="3408"/>
        <w:gridCol w:w="3408"/>
      </w:tblGrid>
      <w:tr>
        <w:trPr>
          <w:tblHeader w:val="true"/>
        </w:trPr>
        <w:tc>
          <w:tcPr>
            <w:tcW w:type="dxa" w:w="3408"/>
            <w:shd w:fill="1F4E79"/>
            <w:vAlign w:val="top"/>
          </w:tcPr>
          <w:p>
            <w:pPr>
              <w:jc w:val="left"/>
            </w:pPr>
            <w:r/>
            <w:r>
              <w:rPr>
                <w:b/>
                <w:color w:val="FFFFFF"/>
                <w:sz w:val="16"/>
              </w:rPr>
              <w:t>Source</w:t>
            </w:r>
          </w:p>
        </w:tc>
        <w:tc>
          <w:tcPr>
            <w:tcW w:type="dxa" w:w="3408"/>
            <w:shd w:fill="1F4E79"/>
            <w:vAlign w:val="top"/>
          </w:tcPr>
          <w:p>
            <w:pPr>
              <w:jc w:val="left"/>
            </w:pPr>
            <w:r/>
            <w:r>
              <w:rPr>
                <w:b/>
                <w:color w:val="FFFFFF"/>
                <w:sz w:val="16"/>
              </w:rPr>
              <w:t>Relevance</w:t>
            </w:r>
          </w:p>
        </w:tc>
        <w:tc>
          <w:tcPr>
            <w:tcW w:type="dxa" w:w="3408"/>
            <w:shd w:fill="1F4E79"/>
            <w:vAlign w:val="top"/>
          </w:tcPr>
          <w:p>
            <w:pPr>
              <w:jc w:val="left"/>
            </w:pPr>
            <w:r/>
            <w:r>
              <w:rPr>
                <w:b/>
                <w:color w:val="FFFFFF"/>
                <w:sz w:val="16"/>
              </w:rPr>
              <w:t>URL</w:t>
            </w:r>
          </w:p>
        </w:tc>
      </w:tr>
      <w:tr>
        <w:tc>
          <w:tcPr>
            <w:tcW w:type="dxa" w:w="3408"/>
            <w:vAlign w:val="top"/>
          </w:tcPr>
          <w:p>
            <w:pPr>
              <w:jc w:val="left"/>
            </w:pPr>
            <w:r/>
            <w:r>
              <w:rPr>
                <w:b w:val="0"/>
                <w:sz w:val="14"/>
              </w:rPr>
              <w:t>Open Banking UK - What is open banking?</w:t>
            </w:r>
          </w:p>
        </w:tc>
        <w:tc>
          <w:tcPr>
            <w:tcW w:type="dxa" w:w="3408"/>
            <w:vAlign w:val="top"/>
          </w:tcPr>
          <w:p>
            <w:pPr>
              <w:jc w:val="left"/>
            </w:pPr>
            <w:r/>
            <w:r>
              <w:rPr>
                <w:b w:val="0"/>
                <w:sz w:val="14"/>
              </w:rPr>
              <w:t>Open banking is described as a simple, secure way to move, manage and make more of money, built on secure systems from regulated providers.</w:t>
            </w:r>
          </w:p>
        </w:tc>
        <w:tc>
          <w:tcPr>
            <w:tcW w:type="dxa" w:w="3408"/>
          </w:tcPr>
          <w:p>
            <w:r>
              <w:rPr>
                <w:sz w:val="14"/>
              </w:rPr>
            </w:r>
            <w:hyperlink r:id="rId10">
              <w:r>
                <w:rPr>
                  <w:color w:val="0563C1"/>
                  <w:u w:val="single"/>
                </w:rPr>
                <w:t>https://www.openbanking.org.uk/what-is-open-banking/</w:t>
              </w:r>
            </w:hyperlink>
          </w:p>
        </w:tc>
      </w:tr>
      <w:tr>
        <w:tc>
          <w:tcPr>
            <w:tcW w:type="dxa" w:w="3408"/>
            <w:vAlign w:val="top"/>
          </w:tcPr>
          <w:p>
            <w:pPr>
              <w:jc w:val="left"/>
            </w:pPr>
            <w:r/>
            <w:r>
              <w:rPr>
                <w:b w:val="0"/>
                <w:sz w:val="14"/>
              </w:rPr>
              <w:t>FCA - Open banking and open finance</w:t>
            </w:r>
          </w:p>
        </w:tc>
        <w:tc>
          <w:tcPr>
            <w:tcW w:type="dxa" w:w="3408"/>
            <w:vAlign w:val="top"/>
          </w:tcPr>
          <w:p>
            <w:pPr>
              <w:jc w:val="left"/>
            </w:pPr>
            <w:r/>
            <w:r>
              <w:rPr>
                <w:b w:val="0"/>
                <w:sz w:val="14"/>
              </w:rPr>
              <w:t>The FCA describes open banking as a secure and regulated way for people and businesses to share access to payments data with trusted apps and services.</w:t>
            </w:r>
          </w:p>
        </w:tc>
        <w:tc>
          <w:tcPr>
            <w:tcW w:type="dxa" w:w="3408"/>
          </w:tcPr>
          <w:p>
            <w:r>
              <w:rPr>
                <w:sz w:val="14"/>
              </w:rPr>
            </w:r>
            <w:hyperlink r:id="rId11">
              <w:r>
                <w:rPr>
                  <w:color w:val="0563C1"/>
                  <w:u w:val="single"/>
                </w:rPr>
                <w:t>https://www.fca.org.uk/firms/open-banking-open-finance</w:t>
              </w:r>
            </w:hyperlink>
          </w:p>
        </w:tc>
      </w:tr>
      <w:tr>
        <w:tc>
          <w:tcPr>
            <w:tcW w:type="dxa" w:w="3408"/>
            <w:vAlign w:val="top"/>
          </w:tcPr>
          <w:p>
            <w:pPr>
              <w:jc w:val="left"/>
            </w:pPr>
            <w:r/>
            <w:r>
              <w:rPr>
                <w:b w:val="0"/>
                <w:sz w:val="14"/>
              </w:rPr>
              <w:t>Plaid - Transactions API reference</w:t>
            </w:r>
          </w:p>
        </w:tc>
        <w:tc>
          <w:tcPr>
            <w:tcW w:type="dxa" w:w="3408"/>
            <w:vAlign w:val="top"/>
          </w:tcPr>
          <w:p>
            <w:pPr>
              <w:jc w:val="left"/>
            </w:pPr>
            <w:r/>
            <w:r>
              <w:rPr>
                <w:b w:val="0"/>
                <w:sz w:val="14"/>
              </w:rPr>
              <w:t>Plaid Transactions supports historical transaction retrieval, merchant/category information and transaction webhooks.</w:t>
            </w:r>
          </w:p>
        </w:tc>
        <w:tc>
          <w:tcPr>
            <w:tcW w:type="dxa" w:w="3408"/>
          </w:tcPr>
          <w:p>
            <w:r>
              <w:rPr>
                <w:sz w:val="14"/>
              </w:rPr>
            </w:r>
            <w:hyperlink r:id="rId12">
              <w:r>
                <w:rPr>
                  <w:color w:val="0563C1"/>
                  <w:u w:val="single"/>
                </w:rPr>
                <w:t>https://plaid.com/docs/api/products/transactions/</w:t>
              </w:r>
            </w:hyperlink>
          </w:p>
        </w:tc>
      </w:tr>
      <w:tr>
        <w:tc>
          <w:tcPr>
            <w:tcW w:type="dxa" w:w="3408"/>
            <w:vAlign w:val="top"/>
          </w:tcPr>
          <w:p>
            <w:pPr>
              <w:jc w:val="left"/>
            </w:pPr>
            <w:r/>
            <w:r>
              <w:rPr>
                <w:b w:val="0"/>
                <w:sz w:val="14"/>
              </w:rPr>
              <w:t>Plaid UK - Transactions API</w:t>
            </w:r>
          </w:p>
        </w:tc>
        <w:tc>
          <w:tcPr>
            <w:tcW w:type="dxa" w:w="3408"/>
            <w:vAlign w:val="top"/>
          </w:tcPr>
          <w:p>
            <w:pPr>
              <w:jc w:val="left"/>
            </w:pPr>
            <w:r/>
            <w:r>
              <w:rPr>
                <w:b w:val="0"/>
                <w:sz w:val="14"/>
              </w:rPr>
              <w:t>Plaid describes UK/EU Open Banking/PSD2 integrations and webhook-based transaction updates.</w:t>
            </w:r>
          </w:p>
        </w:tc>
        <w:tc>
          <w:tcPr>
            <w:tcW w:type="dxa" w:w="3408"/>
          </w:tcPr>
          <w:p>
            <w:r>
              <w:rPr>
                <w:sz w:val="14"/>
              </w:rPr>
            </w:r>
            <w:hyperlink r:id="rId13">
              <w:r>
                <w:rPr>
                  <w:color w:val="0563C1"/>
                  <w:u w:val="single"/>
                </w:rPr>
                <w:t>https://plaid.com/en-gb/products/transactions/</w:t>
              </w:r>
            </w:hyperlink>
          </w:p>
        </w:tc>
      </w:tr>
      <w:tr>
        <w:tc>
          <w:tcPr>
            <w:tcW w:type="dxa" w:w="3408"/>
            <w:vAlign w:val="top"/>
          </w:tcPr>
          <w:p>
            <w:pPr>
              <w:jc w:val="left"/>
            </w:pPr>
            <w:r/>
            <w:r>
              <w:rPr>
                <w:b w:val="0"/>
                <w:sz w:val="14"/>
              </w:rPr>
              <w:t>TrueLayer - Data API basics</w:t>
            </w:r>
          </w:p>
        </w:tc>
        <w:tc>
          <w:tcPr>
            <w:tcW w:type="dxa" w:w="3408"/>
            <w:vAlign w:val="top"/>
          </w:tcPr>
          <w:p>
            <w:pPr>
              <w:jc w:val="left"/>
            </w:pPr>
            <w:r/>
            <w:r>
              <w:rPr>
                <w:b w:val="0"/>
                <w:sz w:val="14"/>
              </w:rPr>
              <w:t>TrueLayer Data API covers identity, accounts, transactions, balances, standing orders and direct debits across connected accounts.</w:t>
            </w:r>
          </w:p>
        </w:tc>
        <w:tc>
          <w:tcPr>
            <w:tcW w:type="dxa" w:w="3408"/>
          </w:tcPr>
          <w:p>
            <w:r>
              <w:rPr>
                <w:sz w:val="14"/>
              </w:rPr>
            </w:r>
            <w:hyperlink r:id="rId14">
              <w:r>
                <w:rPr>
                  <w:color w:val="0563C1"/>
                  <w:u w:val="single"/>
                </w:rPr>
                <w:t>https://docs.truelayer.com/docs/data-api-basics</w:t>
              </w:r>
            </w:hyperlink>
          </w:p>
        </w:tc>
      </w:tr>
      <w:tr>
        <w:tc>
          <w:tcPr>
            <w:tcW w:type="dxa" w:w="3408"/>
            <w:vAlign w:val="top"/>
          </w:tcPr>
          <w:p>
            <w:pPr>
              <w:jc w:val="left"/>
            </w:pPr>
            <w:r/>
            <w:r>
              <w:rPr>
                <w:b w:val="0"/>
                <w:sz w:val="14"/>
              </w:rPr>
              <w:t>OpenAI - Enterprise privacy</w:t>
            </w:r>
          </w:p>
        </w:tc>
        <w:tc>
          <w:tcPr>
            <w:tcW w:type="dxa" w:w="3408"/>
            <w:vAlign w:val="top"/>
          </w:tcPr>
          <w:p>
            <w:pPr>
              <w:jc w:val="left"/>
            </w:pPr>
            <w:r/>
            <w:r>
              <w:rPr>
                <w:b w:val="0"/>
                <w:sz w:val="14"/>
              </w:rPr>
              <w:t>OpenAI states that business data is not used for model training by default unless explicitly opted in.</w:t>
            </w:r>
          </w:p>
        </w:tc>
        <w:tc>
          <w:tcPr>
            <w:tcW w:type="dxa" w:w="3408"/>
          </w:tcPr>
          <w:p>
            <w:r>
              <w:rPr>
                <w:sz w:val="14"/>
              </w:rPr>
            </w:r>
            <w:hyperlink r:id="rId15">
              <w:r>
                <w:rPr>
                  <w:color w:val="0563C1"/>
                  <w:u w:val="single"/>
                </w:rPr>
                <w:t>https://openai.com/enterprise-privacy/</w:t>
              </w:r>
            </w:hyperlink>
          </w:p>
        </w:tc>
      </w:tr>
      <w:tr>
        <w:tc>
          <w:tcPr>
            <w:tcW w:type="dxa" w:w="3408"/>
            <w:vAlign w:val="top"/>
          </w:tcPr>
          <w:p>
            <w:pPr>
              <w:jc w:val="left"/>
            </w:pPr>
            <w:r/>
            <w:r>
              <w:rPr>
                <w:b w:val="0"/>
                <w:sz w:val="14"/>
              </w:rPr>
              <w:t>OpenAI - How your data is used to improve model performance</w:t>
            </w:r>
          </w:p>
        </w:tc>
        <w:tc>
          <w:tcPr>
            <w:tcW w:type="dxa" w:w="3408"/>
            <w:vAlign w:val="top"/>
          </w:tcPr>
          <w:p>
            <w:pPr>
              <w:jc w:val="left"/>
            </w:pPr>
            <w:r/>
            <w:r>
              <w:rPr>
                <w:b w:val="0"/>
                <w:sz w:val="14"/>
              </w:rPr>
              <w:t>OpenAI states that API, ChatGPT Team and ChatGPT Enterprise inputs/outputs are not used for training by default unless organisations opt in.</w:t>
            </w:r>
          </w:p>
        </w:tc>
        <w:tc>
          <w:tcPr>
            <w:tcW w:type="dxa" w:w="3408"/>
          </w:tcPr>
          <w:p>
            <w:r>
              <w:rPr>
                <w:sz w:val="14"/>
              </w:rPr>
            </w:r>
            <w:hyperlink r:id="rId16">
              <w:r>
                <w:rPr>
                  <w:color w:val="0563C1"/>
                  <w:u w:val="single"/>
                </w:rPr>
                <w:t>https://openai.com/policies/how-your-data-is-used-to-improve-model-performance/</w:t>
              </w:r>
            </w:hyperlink>
          </w:p>
        </w:tc>
      </w:tr>
      <w:tr>
        <w:tc>
          <w:tcPr>
            <w:tcW w:type="dxa" w:w="3408"/>
            <w:vAlign w:val="top"/>
          </w:tcPr>
          <w:p>
            <w:pPr>
              <w:jc w:val="left"/>
            </w:pPr>
            <w:r/>
            <w:r>
              <w:rPr>
                <w:b w:val="0"/>
                <w:sz w:val="14"/>
              </w:rPr>
              <w:t>FCA - Open finance roadmap</w:t>
            </w:r>
          </w:p>
        </w:tc>
        <w:tc>
          <w:tcPr>
            <w:tcW w:type="dxa" w:w="3408"/>
            <w:vAlign w:val="top"/>
          </w:tcPr>
          <w:p>
            <w:pPr>
              <w:jc w:val="left"/>
            </w:pPr>
            <w:r/>
            <w:r>
              <w:rPr>
                <w:b w:val="0"/>
                <w:sz w:val="14"/>
              </w:rPr>
              <w:t>The FCA roadmap sets out phases for open finance: 2026 collaboration and prioritisation, 2027 design and coordination, and 2028-2030 scaling.</w:t>
            </w:r>
          </w:p>
        </w:tc>
        <w:tc>
          <w:tcPr>
            <w:tcW w:type="dxa" w:w="3408"/>
          </w:tcPr>
          <w:p>
            <w:r>
              <w:rPr>
                <w:sz w:val="14"/>
              </w:rPr>
            </w:r>
            <w:hyperlink r:id="rId17">
              <w:r>
                <w:rPr>
                  <w:color w:val="0563C1"/>
                  <w:u w:val="single"/>
                </w:rPr>
                <w:t>https://www.fca.org.uk/publications/corporate-documents/open-finance-roadmap</w:t>
              </w:r>
            </w:hyperlink>
          </w:p>
        </w:tc>
      </w:tr>
      <w:tr>
        <w:tc>
          <w:tcPr>
            <w:tcW w:type="dxa" w:w="3408"/>
            <w:vAlign w:val="top"/>
          </w:tcPr>
          <w:p>
            <w:pPr>
              <w:jc w:val="left"/>
            </w:pPr>
            <w:r/>
            <w:r>
              <w:rPr>
                <w:b w:val="0"/>
                <w:sz w:val="14"/>
              </w:rPr>
              <w:t>FCA - Mills Review on AI in retail financial services</w:t>
            </w:r>
          </w:p>
        </w:tc>
        <w:tc>
          <w:tcPr>
            <w:tcW w:type="dxa" w:w="3408"/>
            <w:vAlign w:val="top"/>
          </w:tcPr>
          <w:p>
            <w:pPr>
              <w:jc w:val="left"/>
            </w:pPr>
            <w:r/>
            <w:r>
              <w:rPr>
                <w:b w:val="0"/>
                <w:sz w:val="14"/>
              </w:rPr>
              <w:t>The FCA is reviewing how AI may reshape retail financial services for consumers, firms, markets and regulators by 2030 and beyond.</w:t>
            </w:r>
          </w:p>
        </w:tc>
        <w:tc>
          <w:tcPr>
            <w:tcW w:type="dxa" w:w="3408"/>
          </w:tcPr>
          <w:p>
            <w:r>
              <w:rPr>
                <w:sz w:val="14"/>
              </w:rPr>
            </w:r>
            <w:hyperlink r:id="rId18">
              <w:r>
                <w:rPr>
                  <w:color w:val="0563C1"/>
                  <w:u w:val="single"/>
                </w:rPr>
                <w:t>https://www.fca.org.uk/publications/calls-input/review-long-term-impact-ai-retail-financial-services-mills-review</w:t>
              </w:r>
            </w:hyperlink>
          </w:p>
        </w:tc>
      </w:tr>
      <w:tr>
        <w:tc>
          <w:tcPr>
            <w:tcW w:type="dxa" w:w="3408"/>
            <w:vAlign w:val="top"/>
          </w:tcPr>
          <w:p>
            <w:pPr>
              <w:jc w:val="left"/>
            </w:pPr>
            <w:r/>
            <w:r>
              <w:rPr>
                <w:b w:val="0"/>
                <w:sz w:val="14"/>
              </w:rPr>
              <w:t>FCA - PS25/22 targeted support</w:t>
            </w:r>
          </w:p>
        </w:tc>
        <w:tc>
          <w:tcPr>
            <w:tcW w:type="dxa" w:w="3408"/>
            <w:vAlign w:val="top"/>
          </w:tcPr>
          <w:p>
            <w:pPr>
              <w:jc w:val="left"/>
            </w:pPr>
            <w:r/>
            <w:r>
              <w:rPr>
                <w:b w:val="0"/>
                <w:sz w:val="14"/>
              </w:rPr>
              <w:t>The FCA targeted support regime for pensions and investment decisions went live from 6 April 2026.</w:t>
            </w:r>
          </w:p>
        </w:tc>
        <w:tc>
          <w:tcPr>
            <w:tcW w:type="dxa" w:w="3408"/>
          </w:tcPr>
          <w:p>
            <w:r>
              <w:rPr>
                <w:sz w:val="14"/>
              </w:rPr>
            </w:r>
            <w:hyperlink r:id="rId19">
              <w:r>
                <w:rPr>
                  <w:color w:val="0563C1"/>
                  <w:u w:val="single"/>
                </w:rPr>
                <w:t>https://www.fca.org.uk/publications/policy-statements/ps25-22-consumer-pensions-investment-decisions-rules-targeted-support</w:t>
              </w:r>
            </w:hyperlink>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Project Definition Document | Version 0.1 Draft | 30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2F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6"/>
    </w:rPr>
  </w:style>
  <w:style w:type="paragraph" w:customStyle="1" w:styleId="Small">
    <w:name w:val="Small"/>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openbanking.org.uk/what-is-open-banking/" TargetMode="External"/><Relationship Id="rId11" Type="http://schemas.openxmlformats.org/officeDocument/2006/relationships/hyperlink" Target="https://www.fca.org.uk/firms/open-banking-open-finance" TargetMode="External"/><Relationship Id="rId12" Type="http://schemas.openxmlformats.org/officeDocument/2006/relationships/hyperlink" Target="https://plaid.com/docs/api/products/transactions/" TargetMode="External"/><Relationship Id="rId13" Type="http://schemas.openxmlformats.org/officeDocument/2006/relationships/hyperlink" Target="https://plaid.com/en-gb/products/transactions/" TargetMode="External"/><Relationship Id="rId14" Type="http://schemas.openxmlformats.org/officeDocument/2006/relationships/hyperlink" Target="https://docs.truelayer.com/docs/data-api-basics" TargetMode="External"/><Relationship Id="rId15" Type="http://schemas.openxmlformats.org/officeDocument/2006/relationships/hyperlink" Target="https://openai.com/enterprise-privacy/" TargetMode="External"/><Relationship Id="rId16" Type="http://schemas.openxmlformats.org/officeDocument/2006/relationships/hyperlink" Target="https://openai.com/policies/how-your-data-is-used-to-improve-model-performance/" TargetMode="External"/><Relationship Id="rId17" Type="http://schemas.openxmlformats.org/officeDocument/2006/relationships/hyperlink" Target="https://www.fca.org.uk/publications/corporate-documents/open-finance-roadmap" TargetMode="External"/><Relationship Id="rId18" Type="http://schemas.openxmlformats.org/officeDocument/2006/relationships/hyperlink" Target="https://www.fca.org.uk/publications/calls-input/review-long-term-impact-ai-retail-financial-services-mills-review" TargetMode="External"/><Relationship Id="rId19" Type="http://schemas.openxmlformats.org/officeDocument/2006/relationships/hyperlink" Target="https://www.fca.org.uk/publications/policy-statements/ps25-22-consumer-pensions-investment-decisions-rules-targeted-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