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52"/>
        </w:rPr>
        <w:br/>
        <w:br/>
        <w:t>Technical Architecture Document</w:t>
      </w:r>
    </w:p>
    <w:p>
      <w:pPr>
        <w:jc w:val="center"/>
      </w:pPr>
      <w:r>
        <w:rPr>
          <w:color w:val="2F2F2F"/>
          <w:sz w:val="28"/>
        </w:rPr>
        <w:t>Personal Finance Dashboard with AI Money Coach</w:t>
      </w:r>
    </w:p>
    <w:p>
      <w:pPr>
        <w:jc w:val="center"/>
      </w:pPr>
      <w:r>
        <w:rPr>
          <w:b/>
          <w:color w:val="1F4E79"/>
          <w:sz w:val="24"/>
        </w:rPr>
        <w:br/>
        <w:t>Personal Finance Dashboard / AI Money Coach</w:t>
      </w:r>
    </w:p>
    <w:p>
      <w:pPr>
        <w:jc w:val="center"/>
      </w:pPr>
      <w:r>
        <w:rPr>
          <w:sz w:val="20"/>
        </w:rPr>
        <w:t>Prepared: 30 June 2026</w:t>
        <w:br/>
        <w:t>Version: 0.1 Draft</w:t>
        <w:br/>
        <w:t>Status: Working Draft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Technical Architecture Document</w:t>
            </w:r>
          </w:p>
        </w:tc>
      </w:tr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Define the delivery, product design and technical architecture for a private AI-enabled personal finance dashboard.</w:t>
            </w:r>
          </w:p>
        </w:tc>
      </w:tr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 Owner / Builder</w:t>
            </w:r>
          </w:p>
        </w:tc>
      </w:tr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 Draft</w:t>
            </w:r>
          </w:p>
        </w:tc>
      </w:tr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 June 2026</w:t>
            </w:r>
          </w:p>
        </w:tc>
      </w:tr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 owner, developer/Codex, solution architect, security reviewer and future delivery collaborators.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255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Summary</w:t>
            </w:r>
          </w:p>
        </w:tc>
      </w:tr>
      <w:t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 June 2026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ChatGPT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Initial structured draft for review and iteration.</w:t>
            </w:r>
          </w:p>
        </w:tc>
      </w:tr>
    </w:tbl>
    <w:p/>
    <w:p>
      <w:pPr>
        <w:pStyle w:val="Heading1"/>
      </w:pPr>
      <w:r>
        <w:t>Contents</w:t>
      </w:r>
    </w:p>
    <w:p>
      <w:pPr>
        <w:spacing w:after="0" w:before="0" w:line="216" w:lineRule="auto"/>
        <w:ind w:left="0"/>
      </w:pPr>
      <w:r>
        <w:rPr>
          <w:sz w:val="16"/>
        </w:rPr>
        <w:t>1. Architecture Overview</w:t>
      </w:r>
    </w:p>
    <w:p>
      <w:pPr>
        <w:spacing w:after="0" w:before="0" w:line="216" w:lineRule="auto"/>
        <w:ind w:left="0"/>
      </w:pPr>
      <w:r>
        <w:rPr>
          <w:sz w:val="16"/>
        </w:rPr>
        <w:t>2. Architecture Principles</w:t>
      </w:r>
    </w:p>
    <w:p>
      <w:pPr>
        <w:spacing w:after="0" w:before="0" w:line="216" w:lineRule="auto"/>
        <w:ind w:left="0"/>
      </w:pPr>
      <w:r>
        <w:rPr>
          <w:sz w:val="16"/>
        </w:rPr>
        <w:t>3. Context and Constraints</w:t>
      </w:r>
    </w:p>
    <w:p>
      <w:pPr>
        <w:spacing w:after="0" w:before="0" w:line="216" w:lineRule="auto"/>
        <w:ind w:left="0"/>
      </w:pPr>
      <w:r>
        <w:rPr>
          <w:sz w:val="16"/>
        </w:rPr>
        <w:t>4. Target-State Architecture</w:t>
      </w:r>
    </w:p>
    <w:p>
      <w:pPr>
        <w:spacing w:after="0" w:before="0" w:line="216" w:lineRule="auto"/>
        <w:ind w:left="0"/>
      </w:pPr>
      <w:r>
        <w:rPr>
          <w:sz w:val="16"/>
        </w:rPr>
        <w:t>5. Component Architecture</w:t>
      </w:r>
    </w:p>
    <w:p>
      <w:pPr>
        <w:spacing w:after="0" w:before="0" w:line="216" w:lineRule="auto"/>
        <w:ind w:left="0"/>
      </w:pPr>
      <w:r>
        <w:rPr>
          <w:sz w:val="16"/>
        </w:rPr>
        <w:t>6. Data Flows</w:t>
      </w:r>
    </w:p>
    <w:p>
      <w:pPr>
        <w:spacing w:after="0" w:before="0" w:line="216" w:lineRule="auto"/>
        <w:ind w:left="0"/>
      </w:pPr>
      <w:r>
        <w:rPr>
          <w:sz w:val="16"/>
        </w:rPr>
        <w:t>7. AI Architecture</w:t>
      </w:r>
    </w:p>
    <w:p>
      <w:pPr>
        <w:spacing w:after="0" w:before="0" w:line="216" w:lineRule="auto"/>
        <w:ind w:left="0"/>
      </w:pPr>
      <w:r>
        <w:rPr>
          <w:sz w:val="16"/>
        </w:rPr>
        <w:t>8. Open Banking Architecture</w:t>
      </w:r>
    </w:p>
    <w:p>
      <w:pPr>
        <w:spacing w:after="0" w:before="0" w:line="216" w:lineRule="auto"/>
        <w:ind w:left="0"/>
      </w:pPr>
      <w:r>
        <w:rPr>
          <w:sz w:val="16"/>
        </w:rPr>
        <w:t>9. API Design</w:t>
      </w:r>
    </w:p>
    <w:p>
      <w:pPr>
        <w:spacing w:after="0" w:before="0" w:line="216" w:lineRule="auto"/>
        <w:ind w:left="0"/>
      </w:pPr>
      <w:r>
        <w:rPr>
          <w:sz w:val="16"/>
        </w:rPr>
        <w:t>10. Data Architecture</w:t>
      </w:r>
    </w:p>
    <w:p>
      <w:pPr>
        <w:spacing w:after="0" w:before="0" w:line="216" w:lineRule="auto"/>
        <w:ind w:left="0"/>
      </w:pPr>
      <w:r>
        <w:rPr>
          <w:sz w:val="16"/>
        </w:rPr>
        <w:t>11. Security and Privacy Architecture</w:t>
      </w:r>
    </w:p>
    <w:p>
      <w:pPr>
        <w:spacing w:after="0" w:before="0" w:line="216" w:lineRule="auto"/>
        <w:ind w:left="0"/>
      </w:pPr>
      <w:r>
        <w:rPr>
          <w:sz w:val="16"/>
        </w:rPr>
        <w:t>12. Regulatory and Compliance Boundaries</w:t>
      </w:r>
    </w:p>
    <w:p>
      <w:pPr>
        <w:spacing w:after="0" w:before="0" w:line="216" w:lineRule="auto"/>
        <w:ind w:left="0"/>
      </w:pPr>
      <w:r>
        <w:rPr>
          <w:sz w:val="16"/>
        </w:rPr>
        <w:t>13. Deployment Architecture</w:t>
      </w:r>
    </w:p>
    <w:p>
      <w:pPr>
        <w:spacing w:after="0" w:before="0" w:line="216" w:lineRule="auto"/>
        <w:ind w:left="0"/>
      </w:pPr>
      <w:r>
        <w:rPr>
          <w:sz w:val="16"/>
        </w:rPr>
        <w:t>14. Observability, Backup and Recovery</w:t>
      </w:r>
    </w:p>
    <w:p>
      <w:pPr>
        <w:spacing w:after="0" w:before="0" w:line="216" w:lineRule="auto"/>
        <w:ind w:left="0"/>
      </w:pPr>
      <w:r>
        <w:rPr>
          <w:sz w:val="16"/>
        </w:rPr>
        <w:t>15. Testing and CI/CD</w:t>
      </w:r>
    </w:p>
    <w:p>
      <w:pPr>
        <w:spacing w:after="0" w:before="0" w:line="216" w:lineRule="auto"/>
        <w:ind w:left="0"/>
      </w:pPr>
      <w:r>
        <w:rPr>
          <w:sz w:val="16"/>
        </w:rPr>
        <w:t>16. Architecture Decisions</w:t>
      </w:r>
    </w:p>
    <w:p>
      <w:pPr>
        <w:spacing w:after="0" w:before="0" w:line="216" w:lineRule="auto"/>
        <w:ind w:left="0"/>
      </w:pPr>
      <w:r>
        <w:rPr>
          <w:sz w:val="16"/>
        </w:rPr>
        <w:t>Appendix: Source References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r>
        <w:t>The solution is a private web application that stores financial data in a controlled database, exposes calculation and retrieval services through typed APIs, and uses an AI money coach to interpret and explain data through tool-grounded responses. The architecture starts with CSV ingestion and evolves to UK Open Banking provider integrations through an adapter layer.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</w:tblPr>
      <w:tblGrid>
        <w:gridCol w:w="10224"/>
      </w:tblGrid>
      <w:tr>
        <w:tc>
          <w:tcPr>
            <w:tcW w:type="dxa" w:w="10224"/>
            <w:shd w:fill="D9EAF7"/>
          </w:tcPr>
          <w:p>
            <w:r/>
            <w:r>
              <w:rPr>
                <w:b/>
                <w:color w:val="1F4E79"/>
                <w:sz w:val="18"/>
              </w:rPr>
              <w:t>Architecture summary</w:t>
            </w:r>
          </w:p>
          <w:p>
            <w:r>
              <w:rPr>
                <w:sz w:val="18"/>
              </w:rPr>
              <w:t>The database and deterministic services are the system of record. The AI layer receives scoped, purpose-specific data through backend tools and returns explanations, scenarios and proposed actions with audit metadata.</w:t>
            </w:r>
          </w:p>
        </w:tc>
      </w:tr>
    </w:tbl>
    <w:p/>
    <w:p>
      <w:pPr>
        <w:pStyle w:val="Heading1"/>
      </w:pPr>
      <w:r>
        <w:t>2. Architecture Principles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Implication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A-01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System of record outside AI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Transactions, budgets, bills, goals and audit history are stored in Postgres. AI responses never become source data without confirmation.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A-02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Least data to AI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send the minimum retrieved records and summary values needed for the user question.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A-03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Deterministic calculations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Safe-to-spend, budget pace, cashflow and debt scenarios are calculated by code, then explained by AI.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A-04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Provider abstraction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Banking providers sit behind an adapter so Plaid, TrueLayer, Tink or Moneyhub can be switched or combined.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A-05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Human approval for material actions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Persistent rules, external communications, payments and provider changes require explicit confirmation.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A-06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 by design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prompts, tools used, data snapshot references and user approvals are logged.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A-07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Secure by default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Encrypted storage, secret management, log redaction and least-privilege access apply from MVP.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A-08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Extensible to open finance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 model supports future pensions, investments, mortgages and broader assets/liabilities as open finance matures.</w:t>
            </w:r>
          </w:p>
        </w:tc>
      </w:tr>
    </w:tbl>
    <w:p/>
    <w:p>
      <w:pPr>
        <w:pStyle w:val="Heading1"/>
      </w:pPr>
      <w:r>
        <w:t>3. Context and Constraints</w:t>
      </w:r>
    </w:p>
    <w:p>
      <w:pPr>
        <w:pStyle w:val="ListBullet"/>
      </w:pPr>
      <w:r>
        <w:t>Initial deployment is a private personal finance tool rather than a public regulated service.</w:t>
      </w:r>
    </w:p>
    <w:p>
      <w:pPr>
        <w:pStyle w:val="ListBullet"/>
      </w:pPr>
      <w:r>
        <w:t>The MVP uses manual CSV import to validate data model, UX and AI behaviours before bank integration.</w:t>
      </w:r>
    </w:p>
    <w:p>
      <w:pPr>
        <w:pStyle w:val="ListBullet"/>
      </w:pPr>
      <w:r>
        <w:t>The target geography is the UK, using UK terminology and future UK Open Banking/Open Finance capabilities.</w:t>
      </w:r>
    </w:p>
    <w:p>
      <w:pPr>
        <w:pStyle w:val="ListBullet"/>
      </w:pPr>
      <w:r>
        <w:t>Financial data is sensitive and must be treated with data minimisation, encryption and approval controls.</w:t>
      </w:r>
    </w:p>
    <w:p>
      <w:pPr>
        <w:pStyle w:val="ListBullet"/>
      </w:pPr>
      <w:r>
        <w:t>OpenAI business/API data is not used for model training by default unless the customer opts in, according to OpenAI’s published privacy statements.</w:t>
      </w:r>
    </w:p>
    <w:p>
      <w:pPr>
        <w:pStyle w:val="ListBullet"/>
      </w:pPr>
      <w:r>
        <w:t>Open Banking is a secure and regulated way to share payment-account data with trusted apps and services, according to the FCA.</w:t>
      </w:r>
    </w:p>
    <w:p>
      <w:pPr>
        <w:pStyle w:val="ListBullet"/>
      </w:pPr>
      <w:r>
        <w:t>The FCA is actively reviewing AI in retail financial services and has published an open finance roadmap through to 2030, so regulatory assumptions should be rechecked before public productisation.</w:t>
      </w:r>
    </w:p>
    <w:p>
      <w:pPr>
        <w:pStyle w:val="Heading1"/>
      </w:pPr>
      <w:r>
        <w:t>4. Target-State Architecture</w:t>
      </w:r>
    </w:p>
    <w:p>
      <w:pPr>
        <w:pStyle w:val="CodeBlock"/>
        <w:spacing w:before="60" w:after="120"/>
      </w:pPr>
      <w:r>
        <w:rPr>
          <w:rFonts w:ascii="Consolas" w:hAnsi="Consolas" w:eastAsia="Consolas"/>
          <w:sz w:val="16"/>
        </w:rPr>
        <w:t>+------------------+       +---------------------+       +------------------+</w:t>
      </w:r>
      <w:r>
        <w:br/>
      </w:r>
      <w:r>
        <w:rPr>
          <w:rFonts w:ascii="Consolas" w:hAnsi="Consolas" w:eastAsia="Consolas"/>
          <w:sz w:val="16"/>
        </w:rPr>
        <w:t>| UK Banks / Cards | &lt;---&gt; | Open Banking        | &lt;---&gt; | Provider Adapter |</w:t>
      </w:r>
      <w:r>
        <w:br/>
      </w:r>
      <w:r>
        <w:rPr>
          <w:rFonts w:ascii="Consolas" w:hAnsi="Consolas" w:eastAsia="Consolas"/>
          <w:sz w:val="16"/>
        </w:rPr>
        <w:t>| CSV Export MVP   |       | Provider            |       | / Ingestion API  |</w:t>
      </w:r>
      <w:r>
        <w:br/>
      </w:r>
      <w:r>
        <w:rPr>
          <w:rFonts w:ascii="Consolas" w:hAnsi="Consolas" w:eastAsia="Consolas"/>
          <w:sz w:val="16"/>
        </w:rPr>
        <w:t>+------------------+       +---------------------+       +---------+--------+</w:t>
      </w:r>
      <w:r>
        <w:br/>
      </w:r>
      <w:r>
        <w:rPr>
          <w:rFonts w:ascii="Consolas" w:hAnsi="Consolas" w:eastAsia="Consolas"/>
          <w:sz w:val="16"/>
        </w:rPr>
        <w:t xml:space="preserve">                                                                  |</w:t>
      </w:r>
      <w:r>
        <w:br/>
      </w:r>
      <w:r>
        <w:rPr>
          <w:rFonts w:ascii="Consolas" w:hAnsi="Consolas" w:eastAsia="Consolas"/>
          <w:sz w:val="16"/>
        </w:rPr>
        <w:t xml:space="preserve">                                                                  v</w:t>
      </w:r>
      <w:r>
        <w:br/>
      </w:r>
      <w:r>
        <w:rPr>
          <w:rFonts w:ascii="Consolas" w:hAnsi="Consolas" w:eastAsia="Consolas"/>
          <w:sz w:val="16"/>
        </w:rPr>
        <w:t>+------------------+       +---------------------+       +------------------+</w:t>
      </w:r>
      <w:r>
        <w:br/>
      </w:r>
      <w:r>
        <w:rPr>
          <w:rFonts w:ascii="Consolas" w:hAnsi="Consolas" w:eastAsia="Consolas"/>
          <w:sz w:val="16"/>
        </w:rPr>
        <w:t>| Web Dashboard    | &lt;---&gt; | Backend API         | &lt;---&gt; | Postgres DB      |</w:t>
      </w:r>
      <w:r>
        <w:br/>
      </w:r>
      <w:r>
        <w:rPr>
          <w:rFonts w:ascii="Consolas" w:hAnsi="Consolas" w:eastAsia="Consolas"/>
          <w:sz w:val="16"/>
        </w:rPr>
        <w:t>| Next.js/React    |       | Rules + Services    |       | Finance Ledger   |</w:t>
      </w:r>
      <w:r>
        <w:br/>
      </w:r>
      <w:r>
        <w:rPr>
          <w:rFonts w:ascii="Consolas" w:hAnsi="Consolas" w:eastAsia="Consolas"/>
          <w:sz w:val="16"/>
        </w:rPr>
        <w:t>+---------+--------+       +----------+----------+       +---------+--------+</w:t>
      </w:r>
      <w:r>
        <w:br/>
      </w:r>
      <w:r>
        <w:rPr>
          <w:rFonts w:ascii="Consolas" w:hAnsi="Consolas" w:eastAsia="Consolas"/>
          <w:sz w:val="16"/>
        </w:rPr>
        <w:t xml:space="preserve">          |                           |                            |</w:t>
      </w:r>
      <w:r>
        <w:br/>
      </w:r>
      <w:r>
        <w:rPr>
          <w:rFonts w:ascii="Consolas" w:hAnsi="Consolas" w:eastAsia="Consolas"/>
          <w:sz w:val="16"/>
        </w:rPr>
        <w:t xml:space="preserve">          v                           v                            v</w:t>
      </w:r>
      <w:r>
        <w:br/>
      </w:r>
      <w:r>
        <w:rPr>
          <w:rFonts w:ascii="Consolas" w:hAnsi="Consolas" w:eastAsia="Consolas"/>
          <w:sz w:val="16"/>
        </w:rPr>
        <w:t>+------------------+       +---------------------+       +------------------+</w:t>
      </w:r>
      <w:r>
        <w:br/>
      </w:r>
      <w:r>
        <w:rPr>
          <w:rFonts w:ascii="Consolas" w:hAnsi="Consolas" w:eastAsia="Consolas"/>
          <w:sz w:val="16"/>
        </w:rPr>
        <w:t>| AI Coach Panel   | &lt;---&gt; | AI Tool Gateway     | &lt;---&gt; | Audit / Insights |</w:t>
      </w:r>
      <w:r>
        <w:br/>
      </w:r>
      <w:r>
        <w:rPr>
          <w:rFonts w:ascii="Consolas" w:hAnsi="Consolas" w:eastAsia="Consolas"/>
          <w:sz w:val="16"/>
        </w:rPr>
        <w:t>| OpenAI API       |       | Scoped Retrieval    |       | Logs             |</w:t>
      </w:r>
      <w:r>
        <w:br/>
      </w:r>
      <w:r>
        <w:rPr>
          <w:rFonts w:ascii="Consolas" w:hAnsi="Consolas" w:eastAsia="Consolas"/>
          <w:sz w:val="16"/>
        </w:rPr>
        <w:t>+------------------+       +---------------------+       +------------------+</w:t>
      </w:r>
    </w:p>
    <w:p>
      <w:pPr>
        <w:pStyle w:val="Heading1"/>
      </w:pPr>
      <w:r>
        <w:t>5. Component Architecture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Next.js Web App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Dashboard UI, routing, responsive pages, charting, forms and AI chat panel.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 Layer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Typed endpoints for transactions, budgets, bills, goals, AI tools, imports and settings.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Postgres Database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Persistent data store for finance entities, rules, insights, imports and audit logs.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Ingestion Service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CSV parser and future Open Banking sync service with deduplication and normalisation.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Rules Engine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Categorisation rules, recurring detection, budget pace, safe-to-spend and alerts.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Tool Gateway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Whitelisted functions that retrieve scoped data and run deterministic scenarios for AI.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OpenAI API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Natural language explanation, summarisation, scenario narration and categorisation suggestions.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Banking Adapter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Provider-specific token handling, account sync, transaction sync, balance sync and webhook translation.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 Scheduler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Periodic imports, sync refreshes, monthly summaries, alerts and payday plans.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 Log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Records user actions, AI tool calls, approvals, import events and configuration changes.</w:t>
            </w:r>
          </w:p>
        </w:tc>
      </w:tr>
    </w:tbl>
    <w:p/>
    <w:p>
      <w:pPr>
        <w:pStyle w:val="Heading1"/>
      </w:pPr>
      <w:r>
        <w:t>6. Data Flows</w:t>
      </w:r>
    </w:p>
    <w:p>
      <w:pPr>
        <w:pStyle w:val="Heading2"/>
      </w:pPr>
      <w:r>
        <w:t>6.1 Manual CSV MVP Flow</w:t>
      </w:r>
    </w:p>
    <w:p>
      <w:pPr>
        <w:pStyle w:val="ListNumber"/>
      </w:pPr>
      <w:r>
        <w:t>User uploads CSV through the dashboard.</w:t>
      </w:r>
    </w:p>
    <w:p>
      <w:pPr>
        <w:pStyle w:val="ListNumber"/>
      </w:pPr>
      <w:r>
        <w:t>Ingestion service validates file type, size and expected columns.</w:t>
      </w:r>
    </w:p>
    <w:p>
      <w:pPr>
        <w:pStyle w:val="ListNumber"/>
      </w:pPr>
      <w:r>
        <w:t>User maps columns where the format is unknown.</w:t>
      </w:r>
    </w:p>
    <w:p>
      <w:pPr>
        <w:pStyle w:val="ListNumber"/>
      </w:pPr>
      <w:r>
        <w:t>System normalises rows into canonical transactions.</w:t>
      </w:r>
    </w:p>
    <w:p>
      <w:pPr>
        <w:pStyle w:val="ListNumber"/>
      </w:pPr>
      <w:r>
        <w:t>Deduplication runs using transaction ID where available, then a deterministic fingerprint.</w:t>
      </w:r>
    </w:p>
    <w:p>
      <w:pPr>
        <w:pStyle w:val="ListNumber"/>
      </w:pPr>
      <w:r>
        <w:t>Categorisation runs using merchant rules, known patterns and AI-assisted suggestions where approved.</w:t>
      </w:r>
    </w:p>
    <w:p>
      <w:pPr>
        <w:pStyle w:val="ListNumber"/>
      </w:pPr>
      <w:r>
        <w:t>Imported transactions are stored in Postgres with import batch metadata.</w:t>
      </w:r>
    </w:p>
    <w:p>
      <w:pPr>
        <w:pStyle w:val="ListNumber"/>
      </w:pPr>
      <w:r>
        <w:t>Dashboard calculations refresh and AI insight jobs can run against the new data.</w:t>
      </w:r>
    </w:p>
    <w:p>
      <w:pPr>
        <w:pStyle w:val="Heading2"/>
      </w:pPr>
      <w:r>
        <w:t>6.2 Open Banking Flow</w:t>
      </w:r>
    </w:p>
    <w:p>
      <w:pPr>
        <w:pStyle w:val="ListNumber"/>
      </w:pPr>
      <w:r>
        <w:t>User initiates bank connection from settings.</w:t>
      </w:r>
    </w:p>
    <w:p>
      <w:pPr>
        <w:pStyle w:val="ListNumber"/>
      </w:pPr>
      <w:r>
        <w:t>Dashboard redirects to chosen provider consent/link flow.</w:t>
      </w:r>
    </w:p>
    <w:p>
      <w:pPr>
        <w:pStyle w:val="ListNumber"/>
      </w:pPr>
      <w:r>
        <w:t>Provider returns access/refresh tokens or consent artefacts to backend callback.</w:t>
      </w:r>
    </w:p>
    <w:p>
      <w:pPr>
        <w:pStyle w:val="ListNumber"/>
      </w:pPr>
      <w:r>
        <w:t>Backend stores tokens securely and associates connection with user and provider.</w:t>
      </w:r>
    </w:p>
    <w:p>
      <w:pPr>
        <w:pStyle w:val="ListNumber"/>
      </w:pPr>
      <w:r>
        <w:t>Sync job retrieves accounts, balances and transactions through provider adapter.</w:t>
      </w:r>
    </w:p>
    <w:p>
      <w:pPr>
        <w:pStyle w:val="ListNumber"/>
      </w:pPr>
      <w:r>
        <w:t>Webhook or scheduled refresh updates data after new transactions are available.</w:t>
      </w:r>
    </w:p>
    <w:p>
      <w:pPr>
        <w:pStyle w:val="ListNumber"/>
      </w:pPr>
      <w:r>
        <w:t>Normalisation maps provider data into canonical account and transaction tables.</w:t>
      </w:r>
    </w:p>
    <w:p>
      <w:pPr>
        <w:pStyle w:val="ListNumber"/>
      </w:pPr>
      <w:r>
        <w:t>Alerts and AI summaries run from canonical data rather than provider-specific payloads.</w:t>
      </w:r>
    </w:p>
    <w:p>
      <w:pPr>
        <w:pStyle w:val="Heading2"/>
      </w:pPr>
      <w:r>
        <w:t>6.3 AI Question Flow</w:t>
      </w:r>
    </w:p>
    <w:p>
      <w:pPr>
        <w:pStyle w:val="ListNumber"/>
      </w:pPr>
      <w:r>
        <w:t>User asks a question in the AI coach panel.</w:t>
      </w:r>
    </w:p>
    <w:p>
      <w:pPr>
        <w:pStyle w:val="ListNumber"/>
      </w:pPr>
      <w:r>
        <w:t>Backend classifies request intent and selects allowed tools.</w:t>
      </w:r>
    </w:p>
    <w:p>
      <w:pPr>
        <w:pStyle w:val="ListNumber"/>
      </w:pPr>
      <w:r>
        <w:t>Tools retrieve scoped summary data and records from Postgres.</w:t>
      </w:r>
    </w:p>
    <w:p>
      <w:pPr>
        <w:pStyle w:val="ListNumber"/>
      </w:pPr>
      <w:r>
        <w:t>Deterministic service runs required calculations, such as affordability or budget pace.</w:t>
      </w:r>
    </w:p>
    <w:p>
      <w:pPr>
        <w:pStyle w:val="ListNumber"/>
      </w:pPr>
      <w:r>
        <w:t>AI receives the user question, tool results, system rules and response template.</w:t>
      </w:r>
    </w:p>
    <w:p>
      <w:pPr>
        <w:pStyle w:val="ListNumber"/>
      </w:pPr>
      <w:r>
        <w:t>AI returns an answer with conclusion, evidence, assumptions, risks and next action.</w:t>
      </w:r>
    </w:p>
    <w:p>
      <w:pPr>
        <w:pStyle w:val="ListNumber"/>
      </w:pPr>
      <w:r>
        <w:t>System saves the AI response, tool versions and data snapshot reference in the audit log.</w:t>
      </w:r>
    </w:p>
    <w:p>
      <w:pPr>
        <w:pStyle w:val="Heading1"/>
      </w:pPr>
      <w:r>
        <w:t>7. AI Architecture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</w:tblPr>
      <w:tblGrid>
        <w:gridCol w:w="10224"/>
      </w:tblGrid>
      <w:tr>
        <w:tc>
          <w:tcPr>
            <w:tcW w:type="dxa" w:w="10224"/>
            <w:shd w:fill="D9EAF7"/>
          </w:tcPr>
          <w:p>
            <w:r/>
            <w:r>
              <w:rPr>
                <w:b/>
                <w:color w:val="1F4E79"/>
                <w:sz w:val="18"/>
              </w:rPr>
              <w:t>AI operating model</w:t>
            </w:r>
          </w:p>
          <w:p>
            <w:r>
              <w:rPr>
                <w:sz w:val="18"/>
              </w:rPr>
              <w:t>Use tool-grounded AI. The model should explain, summarise and propose. Financial calculations, retrieval and persistent writes remain controlled backend operations.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Design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 access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OpenAI API from backend only. Do not call AI directly from the browser with exposed keys.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Tool gateway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Expose whitelisted functions with strict schemas and scoped user context.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Prompt layers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System policy, product behaviour, user question, tool result and response template.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 minimisation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Summaries by default; transaction-level data only where needed for explanation.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Grounding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Answers must reference retrieved numbers and state missing data.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Guardrails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autonomous payments, no final regulated financial advice, no credential collection, no hidden rule creation.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Golden prompt tests for affordability, bill change, budget overspend, regulated-topic boundary and hallucination checks.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 prompt version, model, tools called, data snapshot ID, response, user feedback and approvals.</w:t>
            </w:r>
          </w:p>
        </w:tc>
      </w:tr>
    </w:tbl>
    <w:p/>
    <w:p>
      <w:pPr>
        <w:pStyle w:val="Heading2"/>
      </w:pPr>
      <w:r>
        <w:t>7.1 AI Tool Contract Examples</w:t>
      </w:r>
    </w:p>
    <w:p>
      <w:pPr>
        <w:pStyle w:val="CodeBlock"/>
        <w:spacing w:before="60" w:after="120"/>
      </w:pPr>
      <w:r>
        <w:rPr>
          <w:rFonts w:ascii="Consolas" w:hAnsi="Consolas" w:eastAsia="Consolas"/>
          <w:sz w:val="16"/>
        </w:rPr>
        <w:t>GET /api/ai-tools/cash-position</w:t>
      </w:r>
      <w:r>
        <w:br/>
      </w:r>
      <w:r>
        <w:rPr>
          <w:rFonts w:ascii="Consolas" w:hAnsi="Consolas" w:eastAsia="Consolas"/>
          <w:sz w:val="16"/>
        </w:rPr>
        <w:t>Response:</w:t>
      </w:r>
      <w:r>
        <w:br/>
      </w:r>
      <w:r>
        <w:rPr>
          <w:rFonts w:ascii="Consolas" w:hAnsi="Consolas" w:eastAsia="Consolas"/>
          <w:sz w:val="16"/>
        </w:rPr>
        <w:t>{</w:t>
      </w:r>
      <w:r>
        <w:br/>
      </w:r>
      <w:r>
        <w:rPr>
          <w:rFonts w:ascii="Consolas" w:hAnsi="Consolas" w:eastAsia="Consolas"/>
          <w:sz w:val="16"/>
        </w:rPr>
        <w:t xml:space="preserve">  "availableCash": 1420.00,</w:t>
      </w:r>
      <w:r>
        <w:br/>
      </w:r>
      <w:r>
        <w:rPr>
          <w:rFonts w:ascii="Consolas" w:hAnsi="Consolas" w:eastAsia="Consolas"/>
          <w:sz w:val="16"/>
        </w:rPr>
        <w:t xml:space="preserve">  "upcomingBillsBeforePayday": 740.00,</w:t>
      </w:r>
      <w:r>
        <w:br/>
      </w:r>
      <w:r>
        <w:rPr>
          <w:rFonts w:ascii="Consolas" w:hAnsi="Consolas" w:eastAsia="Consolas"/>
          <w:sz w:val="16"/>
        </w:rPr>
        <w:t xml:space="preserve">  "plannedSavings": 200.00,</w:t>
      </w:r>
      <w:r>
        <w:br/>
      </w:r>
      <w:r>
        <w:rPr>
          <w:rFonts w:ascii="Consolas" w:hAnsi="Consolas" w:eastAsia="Consolas"/>
          <w:sz w:val="16"/>
        </w:rPr>
        <w:t xml:space="preserve">  "minimumBuffer": 100.00,</w:t>
      </w:r>
      <w:r>
        <w:br/>
      </w:r>
      <w:r>
        <w:rPr>
          <w:rFonts w:ascii="Consolas" w:hAnsi="Consolas" w:eastAsia="Consolas"/>
          <w:sz w:val="16"/>
        </w:rPr>
        <w:t xml:space="preserve">  "safeToSpend": 380.00,</w:t>
      </w:r>
      <w:r>
        <w:br/>
      </w:r>
      <w:r>
        <w:rPr>
          <w:rFonts w:ascii="Consolas" w:hAnsi="Consolas" w:eastAsia="Consolas"/>
          <w:sz w:val="16"/>
        </w:rPr>
        <w:t xml:space="preserve">  "asOf": "2026-06-30T09:00:00Z"</w:t>
      </w:r>
      <w:r>
        <w:br/>
      </w:r>
      <w:r>
        <w:rPr>
          <w:rFonts w:ascii="Consolas" w:hAnsi="Consolas" w:eastAsia="Consolas"/>
          <w:sz w:val="16"/>
        </w:rPr>
        <w:t>}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POST /api/ai-tools/affordability-scenario</w:t>
      </w:r>
      <w:r>
        <w:br/>
      </w:r>
      <w:r>
        <w:rPr>
          <w:rFonts w:ascii="Consolas" w:hAnsi="Consolas" w:eastAsia="Consolas"/>
          <w:sz w:val="16"/>
        </w:rPr>
        <w:t>Request: { "purchaseAmount": 600, "purchaseDate": "2026-07-20" }</w:t>
      </w:r>
      <w:r>
        <w:br/>
      </w:r>
      <w:r>
        <w:rPr>
          <w:rFonts w:ascii="Consolas" w:hAnsi="Consolas" w:eastAsia="Consolas"/>
          <w:sz w:val="16"/>
        </w:rPr>
        <w:t>Response: { "affordable": false, "gap": 120, "options": [...] }</w:t>
      </w:r>
    </w:p>
    <w:p>
      <w:pPr>
        <w:pStyle w:val="Heading1"/>
      </w:pPr>
      <w:r>
        <w:t>8. Open Banking Architecture</w:t>
      </w:r>
    </w:p>
    <w:p>
      <w:r>
        <w:t>The architecture should support Open Banking providers through an adapter interface so the application can use provider-specific APIs without contaminating the core data model.</w:t>
      </w:r>
    </w:p>
    <w:p>
      <w:pPr>
        <w:pStyle w:val="CodeBlock"/>
        <w:spacing w:before="60" w:after="120"/>
      </w:pPr>
      <w:r>
        <w:rPr>
          <w:rFonts w:ascii="Consolas" w:hAnsi="Consolas" w:eastAsia="Consolas"/>
          <w:sz w:val="16"/>
        </w:rPr>
        <w:t>interface BankingProviderAdapter {</w:t>
      </w:r>
      <w:r>
        <w:br/>
      </w:r>
      <w:r>
        <w:rPr>
          <w:rFonts w:ascii="Consolas" w:hAnsi="Consolas" w:eastAsia="Consolas"/>
          <w:sz w:val="16"/>
        </w:rPr>
        <w:t xml:space="preserve">  createLinkToken(userId): Promise&lt;LinkSession&gt;</w:t>
      </w:r>
      <w:r>
        <w:br/>
      </w:r>
      <w:r>
        <w:rPr>
          <w:rFonts w:ascii="Consolas" w:hAnsi="Consolas" w:eastAsia="Consolas"/>
          <w:sz w:val="16"/>
        </w:rPr>
        <w:t xml:space="preserve">  exchangePublicToken(input): Promise&lt;StoredConnection&gt;</w:t>
      </w:r>
      <w:r>
        <w:br/>
      </w:r>
      <w:r>
        <w:rPr>
          <w:rFonts w:ascii="Consolas" w:hAnsi="Consolas" w:eastAsia="Consolas"/>
          <w:sz w:val="16"/>
        </w:rPr>
        <w:t xml:space="preserve">  syncAccounts(connectionId): Promise&lt;Account[]&gt;</w:t>
      </w:r>
      <w:r>
        <w:br/>
      </w:r>
      <w:r>
        <w:rPr>
          <w:rFonts w:ascii="Consolas" w:hAnsi="Consolas" w:eastAsia="Consolas"/>
          <w:sz w:val="16"/>
        </w:rPr>
        <w:t xml:space="preserve">  syncBalances(connectionId): Promise&lt;Balance[]&gt;</w:t>
      </w:r>
      <w:r>
        <w:br/>
      </w:r>
      <w:r>
        <w:rPr>
          <w:rFonts w:ascii="Consolas" w:hAnsi="Consolas" w:eastAsia="Consolas"/>
          <w:sz w:val="16"/>
        </w:rPr>
        <w:t xml:space="preserve">  syncTransactions(connectionId, cursor): Promise&lt;TransactionPage&gt;</w:t>
      </w:r>
      <w:r>
        <w:br/>
      </w:r>
      <w:r>
        <w:rPr>
          <w:rFonts w:ascii="Consolas" w:hAnsi="Consolas" w:eastAsia="Consolas"/>
          <w:sz w:val="16"/>
        </w:rPr>
        <w:t xml:space="preserve">  handleWebhook(payload): Promise&lt;ProviderEvent&gt;</w:t>
      </w:r>
      <w:r>
        <w:br/>
      </w:r>
      <w:r>
        <w:rPr>
          <w:rFonts w:ascii="Consolas" w:hAnsi="Consolas" w:eastAsia="Consolas"/>
          <w:sz w:val="16"/>
        </w:rPr>
        <w:t xml:space="preserve">  revokeConnection(connectionId): Promise&lt;void&gt;</w:t>
      </w:r>
      <w:r>
        <w:br/>
      </w:r>
      <w:r>
        <w:rPr>
          <w:rFonts w:ascii="Consolas" w:hAnsi="Consolas" w:eastAsia="Consolas"/>
          <w:sz w:val="16"/>
        </w:rPr>
        <w:t>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Provider Option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Architecture Consideration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Plaid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Strong transactions product, historical transactions, merchant/category data and webhooks. Validate UK coverage and pricing for required banks.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TrueLayer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Strong UK/EU Open Banking focus with accounts, balances, transactions, direct debits and standing orders. Validate data availability and consent model.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Tink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Banking aggregation and enrichment option. Validate UK support and commercial model.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Moneyhub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finance-oriented option. Useful for broader assets/liabilities as product matures.</w:t>
            </w:r>
          </w:p>
        </w:tc>
      </w:tr>
    </w:tbl>
    <w:p/>
    <w:p>
      <w:pPr>
        <w:pStyle w:val="Heading1"/>
      </w:pPr>
      <w:r>
        <w:t>9. API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/api/dashboard/summary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current cash, safe-to-spend, budget health, upcoming bills and alerts.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/api/transactions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Search and filter transactions by date, account, category, merchant and status.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/api/imports/csv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Uploads and processes CSV transactions.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/api/transactions/{id}/category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Updates category and optional merchant rule proposal.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/api/budgets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budget periods, categories, spent, remaining and pace.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/api/budgets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Creates or updates a budget.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/api/bills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confirmed bills, subscriptions and likely recurring payments.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/api/goals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savings goals and progress.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/api/scenarios/affordability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Runs planned purchase or goal affordability scenario.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/api/ai/chat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Handles AI coach message, tool calls and audit logging.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/api/banking/connect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Creates provider link/consent session.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/api/banking/webhook/{provider}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Receives provider events and queues sync jobs.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/api/audit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user-visible audit history for imports, AI insights and setting changes.</w:t>
            </w:r>
          </w:p>
        </w:tc>
      </w:tr>
    </w:tbl>
    <w:p/>
    <w:p>
      <w:pPr>
        <w:pStyle w:val="Heading1"/>
      </w:pPr>
      <w:r>
        <w:t>10. Data Architecture</w:t>
      </w:r>
    </w:p>
    <w:p>
      <w:pPr>
        <w:pStyle w:val="Heading2"/>
      </w:pPr>
      <w:r>
        <w:t>10.1 Logical Data Model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email, created_at, settings_json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profile and settings.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user_id, name, type, provider, currency, include_in_cash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Financial accounts and dashboard behaviour.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bank_connections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user_id, provider, status, consent_expiry, token_ref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Banking connection metadata and token references.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transactions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account_id, date, merchant, description, amount, category_id, flags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Canonical transaction ledger.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categories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user_id, name, parent_id, budget_type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Transaction category taxonomy.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merchant_rules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user_id, merchant_pattern, category_id, priority, active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User-approved categorisation rules.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user_id, category_id, period_start, period_end, amount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 limits by category and period.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recurring_payments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user_id, merchant, amount_typical, cadence, type, status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Bills, subscriptions, debt payments and savings transfers.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savings_goals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user_id, name, target_amount, current_amount, target_date, priority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Savings goals and pots.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debts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user_id, name, balance, apr, min_payment, due_day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Debt planner inputs.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net_worth_snapshots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user_id, date, assets_total, liabilities_total, net_worth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Periodic net worth tracking.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ai_insights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user_id, type, text, data_snapshot_id, prompt_version, created_at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AI summaries and explanations.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audit_log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user_id, event_type, entity, entity_id, metadata, created_at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Auditable event history.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import_batches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id, user_id, source, file_hash, status, counts, created_at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CSV/import metadata and deduplication support.</w:t>
            </w:r>
          </w:p>
        </w:tc>
      </w:tr>
    </w:tbl>
    <w:p/>
    <w:p>
      <w:pPr>
        <w:pStyle w:val="Heading2"/>
      </w:pPr>
      <w:r>
        <w:t>10.2 Data Classification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Controls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Static UI copy, product documentation and generic help content.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special controls.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Internal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Application metrics, non-sensitive configuration and anonymised test data.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Authenticated access, standard logs.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Confidential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profile, categories, budgets, goals and insight text.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Encryption at rest, access control and export/delete controls.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Highly Confidential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Transactions, balances, Open Banking token references and AI prompts containing financial data.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Strict access control, encryption, log redaction, audit trail, minimal AI context.</w:t>
            </w:r>
          </w:p>
        </w:tc>
      </w:tr>
    </w:tbl>
    <w:p/>
    <w:p>
      <w:pPr>
        <w:pStyle w:val="Heading1"/>
      </w:pPr>
      <w:r>
        <w:t>11. Security and Privacy Architecture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Control Area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Architecture Design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Supabase Auth or equivalent with email login, optional MFA and secure session management.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Authorisation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Row-level security by user ID; backend service role isolated from browser.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Encryption in transit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HTTPS/TLS for all app, API, provider and AI calls.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Encryption at rest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Managed database encryption and encrypted secret/token storage.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Environment-specific secrets in managed secret store; no secrets in client code or repository.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Banking tokens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Store token references or encrypted tokens; separate from core transaction data where possible.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data minimisation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Send summaries and scoped rows only; avoid full raw transaction history in a single prompt.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Redact transaction descriptions, balances, tokens, email addresses and prompt payloads from operational logs.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 trail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 imports, settings changes, AI insights, tool calls, approvals and provider sync events.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 retention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User-controlled export/delete; configurable retention for import files and AI insight history.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Prompt injection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Treat imported descriptions and merchant text as untrusted data; separate data from instructions in AI prompts.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Dependency security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Lockfiles, dependency scanning and regular updates for frontend/backend packages.</w:t>
            </w:r>
          </w:p>
        </w:tc>
      </w:tr>
    </w:tbl>
    <w:p/>
    <w:p>
      <w:pPr>
        <w:pStyle w:val="Heading1"/>
      </w:pPr>
      <w:r>
        <w:t>12. Regulatory and Compliance Boundaries</w:t>
      </w:r>
    </w:p>
    <w:p>
      <w:pPr>
        <w:pStyle w:val="ListBullet"/>
      </w:pPr>
      <w:r>
        <w:t>Private MVP: treat as a personal tool with strong privacy controls and no third-party customer onboarding.</w:t>
      </w:r>
    </w:p>
    <w:p>
      <w:pPr>
        <w:pStyle w:val="ListBullet"/>
      </w:pPr>
      <w:r>
        <w:t>Public product: complete separate legal/regulatory assessment before launch, including Open Banking account information service obligations, provider agent models and FCA permissions where applicable.</w:t>
      </w:r>
    </w:p>
    <w:p>
      <w:pPr>
        <w:pStyle w:val="ListBullet"/>
      </w:pPr>
      <w:r>
        <w:t>AI in finance: track FCA developments, including the Mills Review into AI in retail financial services.</w:t>
      </w:r>
    </w:p>
    <w:p>
      <w:pPr>
        <w:pStyle w:val="ListBullet"/>
      </w:pPr>
      <w:r>
        <w:t>Open finance: design extensibility for wider products such as mortgages, savings, pensions and investments as the FCA roadmap progresses.</w:t>
      </w:r>
    </w:p>
    <w:p>
      <w:pPr>
        <w:pStyle w:val="ListBullet"/>
      </w:pPr>
      <w:r>
        <w:t>Advice boundary: keep investment, pension, mortgage, tax and formal debt-solution topics educational and signposted unless a compliant regulated support model is implemented.</w:t>
      </w:r>
    </w:p>
    <w:p>
      <w:pPr>
        <w:pStyle w:val="ListBullet"/>
      </w:pPr>
      <w:r>
        <w:t>Payments: keep payment initiation out of MVP. Future payment initiation requires stronger controls, consent, authorisation, fraud prevention and provider-specific compliance review.</w:t>
      </w:r>
    </w:p>
    <w:p>
      <w:pPr>
        <w:pStyle w:val="Heading1"/>
      </w:pPr>
      <w:r>
        <w:t>13. Deployment Architecture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 hosting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Vercel or equivalent Next.js hosting.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Database/auth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Supabase Postgres/Auth or equivalent managed Postgres plus auth stack.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 APIs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Next.js API routes for MVP; FastAPI service can be introduced if backend complexity grows.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Supabase scheduled functions, Inngest, Trigger.dev or managed cron workers.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Environments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Local, development, staging and production/private beta.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Environment variables and managed secrets per environment.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Short-lived CSV staging storage with deletion after import, plus optional encrypted archive setting.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Monitoring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Application logs, job logs, sync metrics, AI usage/cost and error tracking.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Backups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Managed Postgres backups with tested restore process before private beta.</w:t>
            </w:r>
          </w:p>
        </w:tc>
      </w:tr>
    </w:tbl>
    <w:p/>
    <w:p>
      <w:pPr>
        <w:pStyle w:val="Heading1"/>
      </w:pPr>
      <w:r>
        <w:t>14. Observability, Backup and Recovery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Design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Sync monitoring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Track last sync time, provider errors, account counts and transaction counts.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Import monitoring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Track file hash, rows processed, duplicates skipped, errors and review queue count.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monitoring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Track tool errors, token/cost usage, response latency, prompt version and user feedback.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Alert monitoring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Track created, dismissed, actioned and false-positive alerts.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Daily managed database backups for private beta, with manual backup before migrations.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Restore test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 restore test before private beta and after schema changes that affect finance records.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Incident response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 steps for token compromise, data import corruption, provider outage and AI misstatement report.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 export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Allow user export of transactions, budgets, bills, goals and insights in common formats.</w:t>
            </w:r>
          </w:p>
        </w:tc>
      </w:tr>
    </w:tbl>
    <w:p/>
    <w:p>
      <w:pPr>
        <w:pStyle w:val="Heading1"/>
      </w:pPr>
      <w:r>
        <w:t>15. Testing and CI/CD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Approach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Unit tests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Business rules, parsing, deduplication, safe-to-spend, budget pace, recurring detection and scenarios.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 tests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 boundaries, validation, response schemas and error handling.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Database tests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Migrations, row-level security, constraints and seed data.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tests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Golden prompts, tool grounding, regulated-topic handling, hallucination prevention and missing-data behaviour.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E2E tests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CSV import through dashboard, budget review, AI scenario and settings export/delete.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Security tests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Dependency scan, secret scan, log redaction checks and token-handling review.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CI/CD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Lint, type-check, test, build, migration check and deploy to staging before production/private beta.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Release controls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Release checklist, version tag, migration backup, smoke test and rollback path.</w:t>
            </w:r>
          </w:p>
        </w:tc>
      </w:tr>
    </w:tbl>
    <w:p/>
    <w:p>
      <w:pPr>
        <w:pStyle w:val="Heading1"/>
      </w:pPr>
      <w:r>
        <w:t>16. Architecture Decisions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web dashboard as primary interface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Enables charts, settings, data review and embedded AI more effectively than chat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CSV import for MVP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Validates product value and data model before Open Banking complexity and cost.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Postgres as system of record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Financial data benefits from relational integrity, transactions and queryability.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AI tool gateway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Keeps AI grounded and prevents unrestricted access to raw data or external actions.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ADR-005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provider adapter for Open Banking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Avoids tight coupling to one provider and supports future provider changes.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ADR-006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Keep payments out of MVP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Reduces risk and lets the product prove value through insights, planning and coaching first.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ADR-007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audit log from MVP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Financial insights and AI actions need explainability and traceability from day one.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ADR-008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Design for open finance extension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FCA roadmap suggests broader data access over time; schema should support future assets/liabilities.</w:t>
            </w:r>
          </w:p>
        </w:tc>
      </w:tr>
    </w:tbl>
    <w:p/>
    <w:p>
      <w:pPr>
        <w:pStyle w:val="Heading1"/>
      </w:pPr>
      <w:r>
        <w:t>Appendix: Source References</w:t>
      </w:r>
    </w:p>
    <w:p>
      <w:r>
        <w:t>The documents use the following current public sources as design and architecture inputs. Links were reviewed during preparation on 30 June 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Relevance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 Banking UK - What is open banking?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 banking is described as a simple, secure way to move, manage and make more of money, built on secure systems from regulated providers.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0">
              <w:r>
                <w:rPr>
                  <w:color w:val="0563C1"/>
                  <w:u w:val="single"/>
                </w:rPr>
                <w:t>https://www.openbanking.org.uk/what-is-open-banking/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FCA - Open banking and open finance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FCA describes open banking as a secure and regulated way for people and businesses to share access to payments data with trusted apps and services.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1">
              <w:r>
                <w:rPr>
                  <w:color w:val="0563C1"/>
                  <w:u w:val="single"/>
                </w:rPr>
                <w:t>https://www.fca.org.uk/firms/open-banking-open-finance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Plaid - Transactions API reference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Plaid Transactions supports historical transaction retrieval, merchant/category information and transaction webhooks.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2">
              <w:r>
                <w:rPr>
                  <w:color w:val="0563C1"/>
                  <w:u w:val="single"/>
                </w:rPr>
                <w:t>https://plaid.com/docs/api/products/transactions/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Plaid UK - Transactions API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Plaid describes UK/EU Open Banking/PSD2 integrations and webhook-based transaction updates.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3">
              <w:r>
                <w:rPr>
                  <w:color w:val="0563C1"/>
                  <w:u w:val="single"/>
                </w:rPr>
                <w:t>https://plaid.com/en-gb/products/transactions/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TrueLayer - Data API basics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TrueLayer Data API covers identity, accounts, transactions, balances, standing orders and direct debits across connected accounts.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https://docs.truelayer.com/docs/data-api-basics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OpenAI - Enterprise privacy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OpenAI states that business data is not used for model training by default unless explicitly opted in.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5">
              <w:r>
                <w:rPr>
                  <w:color w:val="0563C1"/>
                  <w:u w:val="single"/>
                </w:rPr>
                <w:t>https://openai.com/enterprise-privacy/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OpenAI - How your data is used to improve model performance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OpenAI states that API, ChatGPT Team and ChatGPT Enterprise inputs/outputs are not used for training by default unless organisations opt in.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6">
              <w:r>
                <w:rPr>
                  <w:color w:val="0563C1"/>
                  <w:u w:val="single"/>
                </w:rPr>
                <w:t>https://openai.com/policies/how-your-data-is-used-to-improve-model-performance/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FCA - Open finance roadmap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FCA roadmap sets out phases for open finance: 2026 collaboration and prioritisation, 2027 design and coordination, and 2028-2030 scaling.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7">
              <w:r>
                <w:rPr>
                  <w:color w:val="0563C1"/>
                  <w:u w:val="single"/>
                </w:rPr>
                <w:t>https://www.fca.org.uk/publications/corporate-documents/open-finance-roadmap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FCA - Mills Review on AI in retail financial services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FCA is reviewing how AI may reshape retail financial services for consumers, firms, markets and regulators by 2030 and beyond.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8">
              <w:r>
                <w:rPr>
                  <w:color w:val="0563C1"/>
                  <w:u w:val="single"/>
                </w:rPr>
                <w:t>https://www.fca.org.uk/publications/calls-input/review-long-term-impact-ai-retail-financial-services-mills-review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FCA - PS25/22 targeted support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FCA targeted support regime for pensions and investment decisions went live from 6 April 2026.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9">
              <w:r>
                <w:rPr>
                  <w:color w:val="0563C1"/>
                  <w:u w:val="single"/>
                </w:rPr>
                <w:t>https://www.fca.org.uk/publications/policy-statements/ps25-22-consumer-pensions-investment-decisions-rules-targeted-support</w:t>
              </w:r>
            </w:hyperlink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Technical Architecture Document | Version 0.1 Draft | 30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2F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2F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6"/>
    </w:rPr>
  </w:style>
  <w:style w:type="paragraph" w:customStyle="1" w:styleId="Small">
    <w:name w:val="Small"/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openbanking.org.uk/what-is-open-banking/" TargetMode="External"/><Relationship Id="rId11" Type="http://schemas.openxmlformats.org/officeDocument/2006/relationships/hyperlink" Target="https://www.fca.org.uk/firms/open-banking-open-finance" TargetMode="External"/><Relationship Id="rId12" Type="http://schemas.openxmlformats.org/officeDocument/2006/relationships/hyperlink" Target="https://plaid.com/docs/api/products/transactions/" TargetMode="External"/><Relationship Id="rId13" Type="http://schemas.openxmlformats.org/officeDocument/2006/relationships/hyperlink" Target="https://plaid.com/en-gb/products/transactions/" TargetMode="External"/><Relationship Id="rId14" Type="http://schemas.openxmlformats.org/officeDocument/2006/relationships/hyperlink" Target="https://docs.truelayer.com/docs/data-api-basics" TargetMode="External"/><Relationship Id="rId15" Type="http://schemas.openxmlformats.org/officeDocument/2006/relationships/hyperlink" Target="https://openai.com/enterprise-privacy/" TargetMode="External"/><Relationship Id="rId16" Type="http://schemas.openxmlformats.org/officeDocument/2006/relationships/hyperlink" Target="https://openai.com/policies/how-your-data-is-used-to-improve-model-performance/" TargetMode="External"/><Relationship Id="rId17" Type="http://schemas.openxmlformats.org/officeDocument/2006/relationships/hyperlink" Target="https://www.fca.org.uk/publications/corporate-documents/open-finance-roadmap" TargetMode="External"/><Relationship Id="rId18" Type="http://schemas.openxmlformats.org/officeDocument/2006/relationships/hyperlink" Target="https://www.fca.org.uk/publications/calls-input/review-long-term-impact-ai-retail-financial-services-mills-review" TargetMode="External"/><Relationship Id="rId19" Type="http://schemas.openxmlformats.org/officeDocument/2006/relationships/hyperlink" Target="https://www.fca.org.uk/publications/policy-statements/ps25-22-consumer-pensions-investment-decisions-rules-targeted-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