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760" w:after="200"/>
      </w:pPr>
      <w:r>
        <w:rPr>
          <w:rFonts w:ascii="Aptos" w:hAnsi="Aptos" w:eastAsia="Aptos"/>
          <w:b/>
          <w:color w:val="1D8A79"/>
          <w:sz w:val="21"/>
        </w:rPr>
        <w:t>DOCUMENTO MAESTRO DE PRODUCTO</w:t>
      </w:r>
    </w:p>
    <w:p>
      <w:pPr>
        <w:keepLines/>
        <w:spacing w:before="160" w:after="100"/>
      </w:pPr>
      <w:r>
        <w:rPr>
          <w:rFonts w:ascii="Aptos Display" w:hAnsi="Aptos Display" w:eastAsia="Aptos Display"/>
          <w:b/>
          <w:color w:val="16324F"/>
          <w:sz w:val="68"/>
        </w:rPr>
        <w:t>Comunidad</w:t>
        <w:br/>
        <w:t>Conecta</w:t>
      </w:r>
    </w:p>
    <w:p>
      <w:pPr>
        <w:keepLines/>
        <w:spacing w:after="440"/>
      </w:pPr>
      <w:r>
        <w:rPr>
          <w:rFonts w:ascii="Aptos Display" w:hAnsi="Aptos Display" w:eastAsia="Aptos Display"/>
          <w:b w:val="0"/>
          <w:color w:val="176B87"/>
          <w:sz w:val="32"/>
        </w:rPr>
        <w:t>La plataforma que pertenece a la comunidad,</w:t>
        <w:br/>
        <w:t>no al administrador de fincas</w:t>
      </w:r>
    </w:p>
    <w:p>
      <w:pPr>
        <w:spacing w:before="40" w:after="400"/>
        <w:keepLines/>
        <w:pBdr>
          <w:bottom w:val="single" w:sz="6" w:space="1" w:color="1D8A79"/>
        </w:pBdr>
      </w:pPr>
    </w:p>
    <w:tbl>
      <w:tblPr>
        <w:tblW w:type="dxa" w:w="9360"/>
        <w:jc w:val="left"/>
        <w:tblLayout w:type="fixed"/>
        <w:tblLook w:firstColumn="1" w:firstRow="1" w:lastColumn="0" w:lastRow="0" w:noHBand="0" w:noVBand="1" w:val="04A0"/>
        <w:tblInd w:w="180" w:type="dxa"/>
        <w:tblBorders>
          <w:top w:val="single" w:sz="8" w:space="0" w:color="1D8A79"/>
          <w:left w:val="single" w:sz="8" w:space="0" w:color="1D8A79"/>
          <w:bottom w:val="single" w:sz="8" w:space="0" w:color="1D8A79"/>
          <w:right w:val="single" w:sz="8" w:space="0" w:color="1D8A79"/>
        </w:tblBorders>
      </w:tblPr>
      <w:tblGrid>
        <w:gridCol w:w="9360"/>
      </w:tblGrid>
      <w:tr>
        <w:trPr>
          <w:cantSplit/>
          <w:trHeight w:hRule="atLeast"/>
        </w:trPr>
        <w:tc>
          <w:tcPr>
            <w:tcW w:type="dxa" w:w="9360"/>
            <w:tcMar>
              <w:top w:w="140" w:type="dxa"/>
              <w:start w:w="180" w:type="dxa"/>
              <w:bottom w:w="140" w:type="dxa"/>
              <w:end w:w="180" w:type="dxa"/>
            </w:tcMar>
            <w:vAlign w:val="center"/>
            <w:shd w:fill="EAF6F3" w:val="clear"/>
          </w:tcPr>
          <w:p>
            <w:pPr>
              <w:spacing w:after="0" w:line="271" w:lineRule="auto"/>
            </w:pPr>
            <w:r>
              <w:rPr>
                <w:rFonts w:ascii="Aptos" w:hAnsi="Aptos" w:eastAsia="Aptos"/>
                <w:b/>
                <w:color w:val="1D8A79"/>
                <w:sz w:val="18"/>
              </w:rPr>
              <w:t xml:space="preserve">IDEA CENTRAL  </w:t>
            </w:r>
            <w:r>
              <w:rPr>
                <w:rFonts w:ascii="Aptos" w:hAnsi="Aptos" w:eastAsia="Aptos"/>
                <w:color w:val="24323E"/>
                <w:sz w:val="20"/>
              </w:rPr>
              <w:t>La comunidad conserva su identidad digital, sus datos, su historial, sus documentos y sus integraciones. Cada administrador accede durante el periodo autorizado por la Junta y puede ser sustituido sin migrar de aplicación ni empezar de cero.</w:t>
            </w:r>
          </w:p>
        </w:tc>
      </w:tr>
    </w:tbl>
    <w:p>
      <w:pPr>
        <w:keepLines/>
        <w:spacing w:after="0"/>
      </w:pPr>
    </w:p>
    <w:p>
      <w:pPr>
        <w:keepLines/>
        <w:spacing w:before="440" w:after="80"/>
      </w:pPr>
      <w:r>
        <w:rPr>
          <w:rFonts w:ascii="Aptos" w:hAnsi="Aptos" w:eastAsia="Aptos"/>
          <w:b/>
          <w:color w:val="647481"/>
          <w:sz w:val="21"/>
        </w:rPr>
        <w:t>Versión 1.0  ·  12 de agosto de 2026</w:t>
      </w:r>
    </w:p>
    <w:p>
      <w:pPr>
        <w:keepLines/>
        <w:spacing w:after="80"/>
      </w:pPr>
      <w:r>
        <w:rPr>
          <w:rFonts w:ascii="Aptos" w:hAnsi="Aptos" w:eastAsia="Aptos"/>
          <w:color w:val="647481"/>
          <w:sz w:val="19"/>
        </w:rPr>
        <w:t>Ámbito inicial: España  ·  Nombre provisional</w:t>
      </w:r>
    </w:p>
    <w:p>
      <w:pPr>
        <w:keepLines/>
        <w:spacing w:before="960" w:after="0"/>
      </w:pPr>
      <w:r>
        <w:rPr>
          <w:rFonts w:ascii="Aptos" w:hAnsi="Aptos" w:eastAsia="Aptos"/>
          <w:b/>
          <w:color w:val="16324F"/>
          <w:sz w:val="18"/>
        </w:rPr>
        <w:t>Producto · Operaciones · Legal · Privacidad · Arquitectura · Seguridad · Negocio · Hoja de ruta</w:t>
      </w:r>
    </w:p>
    <w:p>
      <w:pPr>
        <w:keepLines/>
      </w:pPr>
      <w:r>
        <w:br w:type="page"/>
      </w:r>
    </w:p>
    <w:p>
      <w:bookmarkStart w:id="10" w:name="sec_000"/>
      <w:pPr>
        <w:pStyle w:val="Heading1"/>
        <w:keepLines/>
      </w:pPr>
      <w:r>
        <w:t>Control del documento</w:t>
      </w:r>
      <w:bookmarkEnd w:id="10"/>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900"/>
        <w:gridCol w:w="7460"/>
      </w:tblGrid>
      <w:tr>
        <w:trPr>
          <w:cantSplit/>
          <w:trHeight w:hRule="atLeast"/>
          <w:tblHeader w:val="true"/>
          <w:cantSplit/>
        </w:trPr>
        <w:tc>
          <w:tcPr>
            <w:tcW w:type="dxa" w:w="19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Campo</w:t>
            </w:r>
          </w:p>
        </w:tc>
        <w:tc>
          <w:tcPr>
            <w:tcW w:type="dxa" w:w="74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Definición</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Propósito</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Convertir la visión inicial en una especificación accionable para descubrir, diseñar, construir, auditar, lanzar y escalar el producto.</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Audiencia</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Fundador, producto, diseño, ingeniería, seguridad, DPO/asesoría jurídica, administración de fincas, presidencia y Junta.</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Alcance</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Producto SaaS multi-comunidad para España; preparado para bloques, escaleras, manzanas, subcomunidades y agrupaciones.</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Estatus</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Documento de visión y requisitos. No sustituye asesoramiento jurídico, fiscal, contable ni bancario individualizado.</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Supuestos</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Alojamiento preferente en la UE/EEE; comunidad como titular funcional de la cuenta y responsable del tratamiento; administrador como encargado o usuario delegado según el tratamiento.</w:t>
            </w:r>
          </w:p>
        </w:tc>
      </w:tr>
    </w:tbl>
    <w:p>
      <w:pPr>
        <w:keepLines/>
        <w:spacing w:after="0"/>
      </w:pPr>
    </w:p>
    <w:tbl>
      <w:tblPr>
        <w:tblW w:type="dxa" w:w="9360"/>
        <w:jc w:val="left"/>
        <w:tblLayout w:type="fixed"/>
        <w:tblLook w:firstColumn="1" w:firstRow="1" w:lastColumn="0" w:lastRow="0" w:noHBand="0" w:noVBand="1" w:val="04A0"/>
        <w:tblInd w:w="180" w:type="dxa"/>
        <w:tblBorders>
          <w:top w:val="single" w:sz="8" w:space="0" w:color="1D8A79"/>
          <w:left w:val="single" w:sz="8" w:space="0" w:color="1D8A79"/>
          <w:bottom w:val="single" w:sz="8" w:space="0" w:color="1D8A79"/>
          <w:right w:val="single" w:sz="8" w:space="0" w:color="1D8A79"/>
        </w:tblBorders>
      </w:tblPr>
      <w:tblGrid>
        <w:gridCol w:w="9360"/>
      </w:tblGrid>
      <w:tr>
        <w:trPr>
          <w:cantSplit/>
          <w:trHeight w:hRule="atLeast"/>
        </w:trPr>
        <w:tc>
          <w:tcPr>
            <w:tcW w:type="dxa" w:w="9360"/>
            <w:tcMar>
              <w:top w:w="140" w:type="dxa"/>
              <w:start w:w="180" w:type="dxa"/>
              <w:bottom w:w="140" w:type="dxa"/>
              <w:end w:w="180" w:type="dxa"/>
            </w:tcMar>
            <w:vAlign w:val="center"/>
            <w:shd w:fill="EAF6F3" w:val="clear"/>
          </w:tcPr>
          <w:p>
            <w:pPr>
              <w:spacing w:after="0" w:line="271" w:lineRule="auto"/>
            </w:pPr>
            <w:r>
              <w:rPr>
                <w:rFonts w:ascii="Aptos" w:hAnsi="Aptos" w:eastAsia="Aptos"/>
                <w:b/>
                <w:color w:val="1D8A79"/>
                <w:sz w:val="18"/>
              </w:rPr>
              <w:t xml:space="preserve">DECISIÓN FUNDACIONAL  </w:t>
            </w:r>
            <w:r>
              <w:rPr>
                <w:rFonts w:ascii="Aptos" w:hAnsi="Aptos" w:eastAsia="Aptos"/>
                <w:color w:val="24323E"/>
                <w:sz w:val="20"/>
              </w:rPr>
              <w:t>La unidad contractual y técnica no será el despacho del administrador, sino cada comunidad. El despacho tendrá un espacio profesional desde el que opera sobre las comunidades que le hayan otorgado mandato.</w:t>
            </w:r>
          </w:p>
        </w:tc>
      </w:tr>
    </w:tbl>
    <w:p>
      <w:pPr>
        <w:keepLines/>
        <w:spacing w:after="0"/>
      </w:pPr>
    </w:p>
    <w:p>
      <w:bookmarkStart w:id="11" w:name="sec_001"/>
      <w:pPr>
        <w:pStyle w:val="Heading2"/>
        <w:keepLines/>
      </w:pPr>
      <w:r>
        <w:t>Cómo leer este documento</w:t>
      </w:r>
      <w:bookmarkEnd w:id="11"/>
    </w:p>
    <w:p>
      <w:pPr>
        <w:spacing w:after="60" w:line="271" w:lineRule="auto"/>
        <w:keepLines/>
        <w:numPr>
          <w:ilvl w:val="0"/>
          <w:numId w:val="10"/>
        </w:numPr>
      </w:pPr>
      <w:r>
        <w:rPr>
          <w:rFonts w:ascii="Aptos" w:hAnsi="Aptos" w:eastAsia="Aptos"/>
          <w:color w:val="24323E"/>
          <w:sz w:val="20"/>
        </w:rPr>
        <w:t>Los capítulos 1 a 4 definen el problema, la propuesta de valor, los usuarios y los principios irrenunciables.</w:t>
      </w:r>
    </w:p>
    <w:p>
      <w:pPr>
        <w:spacing w:after="60" w:line="271" w:lineRule="auto"/>
        <w:keepLines/>
        <w:numPr>
          <w:ilvl w:val="0"/>
          <w:numId w:val="10"/>
        </w:numPr>
      </w:pPr>
      <w:r>
        <w:rPr>
          <w:rFonts w:ascii="Aptos" w:hAnsi="Aptos" w:eastAsia="Aptos"/>
          <w:color w:val="24323E"/>
          <w:sz w:val="20"/>
        </w:rPr>
        <w:t>Los capítulos 5 a 12 describen el alcance funcional y los flujos críticos.</w:t>
      </w:r>
    </w:p>
    <w:p>
      <w:pPr>
        <w:spacing w:after="60" w:line="271" w:lineRule="auto"/>
        <w:keepLines/>
        <w:numPr>
          <w:ilvl w:val="0"/>
          <w:numId w:val="10"/>
        </w:numPr>
      </w:pPr>
      <w:r>
        <w:rPr>
          <w:rFonts w:ascii="Aptos" w:hAnsi="Aptos" w:eastAsia="Aptos"/>
          <w:color w:val="24323E"/>
          <w:sz w:val="20"/>
        </w:rPr>
        <w:t>Los capítulos 13 a 20 fijan datos, privacidad, seguridad, arquitectura, integraciones y operación.</w:t>
      </w:r>
    </w:p>
    <w:p>
      <w:pPr>
        <w:spacing w:after="60" w:line="271" w:lineRule="auto"/>
        <w:keepLines/>
        <w:numPr>
          <w:ilvl w:val="0"/>
          <w:numId w:val="10"/>
        </w:numPr>
      </w:pPr>
      <w:r>
        <w:rPr>
          <w:rFonts w:ascii="Aptos" w:hAnsi="Aptos" w:eastAsia="Aptos"/>
          <w:color w:val="24323E"/>
          <w:sz w:val="20"/>
        </w:rPr>
        <w:t>Los capítulos 21 a 27 convierten la visión en MVP, hoja de ruta, negocio, métricas, riesgos y decisiones pendientes.</w:t>
      </w:r>
    </w:p>
    <w:p>
      <w:pPr>
        <w:spacing w:after="60" w:line="271" w:lineRule="auto"/>
        <w:keepLines/>
        <w:numPr>
          <w:ilvl w:val="0"/>
          <w:numId w:val="10"/>
        </w:numPr>
      </w:pPr>
      <w:r>
        <w:rPr>
          <w:rFonts w:ascii="Aptos" w:hAnsi="Aptos" w:eastAsia="Aptos"/>
          <w:color w:val="24323E"/>
          <w:sz w:val="20"/>
        </w:rPr>
        <w:t>Los anexos contienen matrices, historias, criterios de aceptación, glosario y fuentes oficiales.</w:t>
      </w:r>
    </w:p>
    <w:p>
      <w:bookmarkStart w:id="12" w:name="sec_002"/>
      <w:pPr>
        <w:pStyle w:val="Heading1"/>
        <w:keepLines/>
      </w:pPr>
      <w:r>
        <w:t>Índice</w:t>
      </w:r>
      <w:bookmarkEnd w:id="12"/>
    </w:p>
    <w:p>
      <w:pPr>
        <w:keepLines/>
        <w:spacing w:after="140"/>
      </w:pPr>
      <w:r>
        <w:rPr>
          <w:rFonts w:ascii="Aptos" w:hAnsi="Aptos" w:eastAsia="Aptos"/>
          <w:i/>
          <w:color w:val="647481"/>
          <w:sz w:val="18"/>
        </w:rPr>
        <w:t>Índice enlazado. Selecciona un capítulo para saltar a él.</w:t>
      </w:r>
    </w:p>
    <w:p>
      <w:pPr>
        <w:keepLines/>
        <w:spacing w:before="30" w:after="50" w:line="240" w:lineRule="auto"/>
        <w:ind w:left="0" w:firstLine="0"/>
      </w:pPr>
      <w:hyperlink w:anchor="sec_000" w:history="1">
        <w:r>
          <w:rPr>
            <w:rFonts w:ascii="Aptos" w:hAnsi="Aptos"/>
            <w:color w:val="16324F"/>
            <w:u w:val="none"/>
            <w:sz w:val="18"/>
            <w:b/>
          </w:rPr>
          <w:t>Control del documento</w:t>
        </w:r>
      </w:hyperlink>
    </w:p>
    <w:p>
      <w:pPr>
        <w:keepLines/>
        <w:spacing w:before="0" w:after="10" w:line="240" w:lineRule="auto"/>
        <w:ind w:left="432" w:firstLine="0"/>
      </w:pPr>
      <w:hyperlink w:anchor="sec_001" w:history="1">
        <w:r>
          <w:rPr>
            <w:rFonts w:ascii="Aptos" w:hAnsi="Aptos"/>
            <w:color w:val="176B87"/>
            <w:u w:val="none"/>
            <w:sz w:val="17"/>
          </w:rPr>
          <w:t>Cómo leer este documento</w:t>
        </w:r>
      </w:hyperlink>
    </w:p>
    <w:p>
      <w:pPr>
        <w:keepLines/>
        <w:spacing w:before="30" w:after="50" w:line="240" w:lineRule="auto"/>
        <w:ind w:left="0" w:firstLine="0"/>
      </w:pPr>
      <w:hyperlink w:anchor="sec_003" w:history="1">
        <w:r>
          <w:rPr>
            <w:rFonts w:ascii="Aptos" w:hAnsi="Aptos"/>
            <w:color w:val="16324F"/>
            <w:u w:val="none"/>
            <w:sz w:val="18"/>
            <w:b/>
          </w:rPr>
          <w:t>1. Resumen ejecutivo</w:t>
        </w:r>
      </w:hyperlink>
    </w:p>
    <w:p>
      <w:pPr>
        <w:keepLines/>
        <w:spacing w:before="0" w:after="10" w:line="240" w:lineRule="auto"/>
        <w:ind w:left="432" w:firstLine="0"/>
      </w:pPr>
      <w:hyperlink w:anchor="sec_004" w:history="1">
        <w:r>
          <w:rPr>
            <w:rFonts w:ascii="Aptos" w:hAnsi="Aptos"/>
            <w:color w:val="176B87"/>
            <w:u w:val="none"/>
            <w:sz w:val="17"/>
          </w:rPr>
          <w:t>1.1 Resultado esperado</w:t>
        </w:r>
      </w:hyperlink>
    </w:p>
    <w:p>
      <w:pPr>
        <w:keepLines/>
        <w:spacing w:before="30" w:after="50" w:line="240" w:lineRule="auto"/>
        <w:ind w:left="0" w:firstLine="0"/>
      </w:pPr>
      <w:hyperlink w:anchor="sec_005" w:history="1">
        <w:r>
          <w:rPr>
            <w:rFonts w:ascii="Aptos" w:hAnsi="Aptos"/>
            <w:color w:val="16324F"/>
            <w:u w:val="none"/>
            <w:sz w:val="18"/>
            <w:b/>
          </w:rPr>
          <w:t>2. Problema y oportunidad</w:t>
        </w:r>
      </w:hyperlink>
    </w:p>
    <w:p>
      <w:pPr>
        <w:keepLines/>
        <w:spacing w:before="0" w:after="10" w:line="240" w:lineRule="auto"/>
        <w:ind w:left="432" w:firstLine="0"/>
      </w:pPr>
      <w:hyperlink w:anchor="sec_006" w:history="1">
        <w:r>
          <w:rPr>
            <w:rFonts w:ascii="Aptos" w:hAnsi="Aptos"/>
            <w:color w:val="176B87"/>
            <w:u w:val="none"/>
            <w:sz w:val="17"/>
          </w:rPr>
          <w:t>2.1 Problemas actuales</w:t>
        </w:r>
      </w:hyperlink>
    </w:p>
    <w:p>
      <w:pPr>
        <w:keepLines/>
        <w:spacing w:before="0" w:after="10" w:line="240" w:lineRule="auto"/>
        <w:ind w:left="432" w:firstLine="0"/>
      </w:pPr>
      <w:hyperlink w:anchor="sec_007" w:history="1">
        <w:r>
          <w:rPr>
            <w:rFonts w:ascii="Aptos" w:hAnsi="Aptos"/>
            <w:color w:val="176B87"/>
            <w:u w:val="none"/>
            <w:sz w:val="17"/>
          </w:rPr>
          <w:t>2.2 Oportunidad</w:t>
        </w:r>
      </w:hyperlink>
    </w:p>
    <w:p>
      <w:pPr>
        <w:keepLines/>
        <w:spacing w:before="30" w:after="50" w:line="240" w:lineRule="auto"/>
        <w:ind w:left="0" w:firstLine="0"/>
      </w:pPr>
      <w:hyperlink w:anchor="sec_008" w:history="1">
        <w:r>
          <w:rPr>
            <w:rFonts w:ascii="Aptos" w:hAnsi="Aptos"/>
            <w:color w:val="16324F"/>
            <w:u w:val="none"/>
            <w:sz w:val="18"/>
            <w:b/>
          </w:rPr>
          <w:t>3. Visión, misión y posicionamiento</w:t>
        </w:r>
      </w:hyperlink>
    </w:p>
    <w:p>
      <w:pPr>
        <w:keepLines/>
        <w:spacing w:before="0" w:after="10" w:line="240" w:lineRule="auto"/>
        <w:ind w:left="432" w:firstLine="0"/>
      </w:pPr>
      <w:hyperlink w:anchor="sec_009" w:history="1">
        <w:r>
          <w:rPr>
            <w:rFonts w:ascii="Aptos" w:hAnsi="Aptos"/>
            <w:color w:val="176B87"/>
            <w:u w:val="none"/>
            <w:sz w:val="17"/>
          </w:rPr>
          <w:t>3.1 Visión</w:t>
        </w:r>
      </w:hyperlink>
    </w:p>
    <w:p>
      <w:pPr>
        <w:keepLines/>
        <w:spacing w:before="0" w:after="10" w:line="240" w:lineRule="auto"/>
        <w:ind w:left="432" w:firstLine="0"/>
      </w:pPr>
      <w:hyperlink w:anchor="sec_010" w:history="1">
        <w:r>
          <w:rPr>
            <w:rFonts w:ascii="Aptos" w:hAnsi="Aptos"/>
            <w:color w:val="176B87"/>
            <w:u w:val="none"/>
            <w:sz w:val="17"/>
          </w:rPr>
          <w:t>3.2 Misión</w:t>
        </w:r>
      </w:hyperlink>
    </w:p>
    <w:p>
      <w:pPr>
        <w:keepLines/>
        <w:spacing w:before="0" w:after="10" w:line="240" w:lineRule="auto"/>
        <w:ind w:left="432" w:firstLine="0"/>
      </w:pPr>
      <w:hyperlink w:anchor="sec_011" w:history="1">
        <w:r>
          <w:rPr>
            <w:rFonts w:ascii="Aptos" w:hAnsi="Aptos"/>
            <w:color w:val="176B87"/>
            <w:u w:val="none"/>
            <w:sz w:val="17"/>
          </w:rPr>
          <w:t>3.3 Posicionamiento</w:t>
        </w:r>
      </w:hyperlink>
    </w:p>
    <w:p>
      <w:pPr>
        <w:keepLines/>
        <w:spacing w:before="0" w:after="10" w:line="240" w:lineRule="auto"/>
        <w:ind w:left="432" w:firstLine="0"/>
      </w:pPr>
      <w:hyperlink w:anchor="sec_012" w:history="1">
        <w:r>
          <w:rPr>
            <w:rFonts w:ascii="Aptos" w:hAnsi="Aptos"/>
            <w:color w:val="176B87"/>
            <w:u w:val="none"/>
            <w:sz w:val="17"/>
          </w:rPr>
          <w:t>3.4 Eslogan funcional</w:t>
        </w:r>
      </w:hyperlink>
    </w:p>
    <w:p>
      <w:pPr>
        <w:keepLines/>
        <w:spacing w:before="30" w:after="50" w:line="240" w:lineRule="auto"/>
        <w:ind w:left="0" w:firstLine="0"/>
      </w:pPr>
      <w:hyperlink w:anchor="sec_013" w:history="1">
        <w:r>
          <w:rPr>
            <w:rFonts w:ascii="Aptos" w:hAnsi="Aptos"/>
            <w:color w:val="16324F"/>
            <w:u w:val="none"/>
            <w:sz w:val="18"/>
            <w:b/>
          </w:rPr>
          <w:t>4. Principios irrenunciables del producto</w:t>
        </w:r>
      </w:hyperlink>
    </w:p>
    <w:p>
      <w:pPr>
        <w:keepLines/>
        <w:spacing w:before="30" w:after="50" w:line="240" w:lineRule="auto"/>
        <w:ind w:left="0" w:firstLine="0"/>
      </w:pPr>
      <w:hyperlink w:anchor="sec_014" w:history="1">
        <w:r>
          <w:rPr>
            <w:rFonts w:ascii="Aptos" w:hAnsi="Aptos"/>
            <w:color w:val="16324F"/>
            <w:u w:val="none"/>
            <w:sz w:val="18"/>
            <w:b/>
          </w:rPr>
          <w:t>5. Alcance y tipos de comunidad</w:t>
        </w:r>
      </w:hyperlink>
    </w:p>
    <w:p>
      <w:pPr>
        <w:keepLines/>
        <w:spacing w:before="0" w:after="10" w:line="240" w:lineRule="auto"/>
        <w:ind w:left="432" w:firstLine="0"/>
      </w:pPr>
      <w:hyperlink w:anchor="sec_015" w:history="1">
        <w:r>
          <w:rPr>
            <w:rFonts w:ascii="Aptos" w:hAnsi="Aptos"/>
            <w:color w:val="176B87"/>
            <w:u w:val="none"/>
            <w:sz w:val="17"/>
          </w:rPr>
          <w:t>5.1 Topologías admitidas</w:t>
        </w:r>
      </w:hyperlink>
    </w:p>
    <w:p>
      <w:pPr>
        <w:keepLines/>
        <w:spacing w:before="0" w:after="10" w:line="240" w:lineRule="auto"/>
        <w:ind w:left="432" w:firstLine="0"/>
      </w:pPr>
      <w:hyperlink w:anchor="sec_016" w:history="1">
        <w:r>
          <w:rPr>
            <w:rFonts w:ascii="Aptos" w:hAnsi="Aptos"/>
            <w:color w:val="176B87"/>
            <w:u w:val="none"/>
            <w:sz w:val="17"/>
          </w:rPr>
          <w:t>5.2 Configuración jurídica por territorio</w:t>
        </w:r>
      </w:hyperlink>
    </w:p>
    <w:p>
      <w:pPr>
        <w:keepLines/>
        <w:spacing w:before="30" w:after="50" w:line="240" w:lineRule="auto"/>
        <w:ind w:left="0" w:firstLine="0"/>
      </w:pPr>
      <w:hyperlink w:anchor="sec_017" w:history="1">
        <w:r>
          <w:rPr>
            <w:rFonts w:ascii="Aptos" w:hAnsi="Aptos"/>
            <w:color w:val="16324F"/>
            <w:u w:val="none"/>
            <w:sz w:val="18"/>
            <w:b/>
          </w:rPr>
          <w:t>6. Personas usuarias, roles y responsabilidades</w:t>
        </w:r>
      </w:hyperlink>
    </w:p>
    <w:p>
      <w:pPr>
        <w:keepLines/>
        <w:spacing w:before="0" w:after="10" w:line="240" w:lineRule="auto"/>
        <w:ind w:left="432" w:firstLine="0"/>
      </w:pPr>
      <w:hyperlink w:anchor="sec_018" w:history="1">
        <w:r>
          <w:rPr>
            <w:rFonts w:ascii="Aptos" w:hAnsi="Aptos"/>
            <w:color w:val="176B87"/>
            <w:u w:val="none"/>
            <w:sz w:val="17"/>
          </w:rPr>
          <w:t>6.1 Modelo de autorización</w:t>
        </w:r>
      </w:hyperlink>
    </w:p>
    <w:p>
      <w:pPr>
        <w:keepLines/>
        <w:spacing w:before="30" w:after="50" w:line="240" w:lineRule="auto"/>
        <w:ind w:left="0" w:firstLine="0"/>
      </w:pPr>
      <w:hyperlink w:anchor="sec_019" w:history="1">
        <w:r>
          <w:rPr>
            <w:rFonts w:ascii="Aptos" w:hAnsi="Aptos"/>
            <w:color w:val="16324F"/>
            <w:u w:val="none"/>
            <w:sz w:val="18"/>
            <w:b/>
          </w:rPr>
          <w:t>7. Experiencia del vecino</w:t>
        </w:r>
      </w:hyperlink>
    </w:p>
    <w:p>
      <w:pPr>
        <w:keepLines/>
        <w:spacing w:before="0" w:after="10" w:line="240" w:lineRule="auto"/>
        <w:ind w:left="432" w:firstLine="0"/>
      </w:pPr>
      <w:hyperlink w:anchor="sec_020" w:history="1">
        <w:r>
          <w:rPr>
            <w:rFonts w:ascii="Aptos" w:hAnsi="Aptos"/>
            <w:color w:val="176B87"/>
            <w:u w:val="none"/>
            <w:sz w:val="17"/>
          </w:rPr>
          <w:t>7.1 Inicio y panel personal</w:t>
        </w:r>
      </w:hyperlink>
    </w:p>
    <w:p>
      <w:pPr>
        <w:keepLines/>
        <w:spacing w:before="0" w:after="10" w:line="240" w:lineRule="auto"/>
        <w:ind w:left="432" w:firstLine="0"/>
      </w:pPr>
      <w:hyperlink w:anchor="sec_021" w:history="1">
        <w:r>
          <w:rPr>
            <w:rFonts w:ascii="Aptos" w:hAnsi="Aptos"/>
            <w:color w:val="176B87"/>
            <w:u w:val="none"/>
            <w:sz w:val="17"/>
          </w:rPr>
          <w:t>7.2 Alta e identidad</w:t>
        </w:r>
      </w:hyperlink>
    </w:p>
    <w:p>
      <w:pPr>
        <w:keepLines/>
        <w:spacing w:before="0" w:after="10" w:line="240" w:lineRule="auto"/>
        <w:ind w:left="432" w:firstLine="0"/>
      </w:pPr>
      <w:hyperlink w:anchor="sec_022" w:history="1">
        <w:r>
          <w:rPr>
            <w:rFonts w:ascii="Aptos" w:hAnsi="Aptos"/>
            <w:color w:val="176B87"/>
            <w:u w:val="none"/>
            <w:sz w:val="17"/>
          </w:rPr>
          <w:t>7.3 Inclusión digital</w:t>
        </w:r>
      </w:hyperlink>
    </w:p>
    <w:p>
      <w:pPr>
        <w:keepLines/>
        <w:spacing w:before="30" w:after="50" w:line="240" w:lineRule="auto"/>
        <w:ind w:left="0" w:firstLine="0"/>
      </w:pPr>
      <w:hyperlink w:anchor="sec_023" w:history="1">
        <w:r>
          <w:rPr>
            <w:rFonts w:ascii="Aptos" w:hAnsi="Aptos"/>
            <w:color w:val="16324F"/>
            <w:u w:val="none"/>
            <w:sz w:val="18"/>
            <w:b/>
          </w:rPr>
          <w:t>8. Núcleo administrativo y económico</w:t>
        </w:r>
      </w:hyperlink>
    </w:p>
    <w:p>
      <w:pPr>
        <w:keepLines/>
        <w:spacing w:before="0" w:after="10" w:line="240" w:lineRule="auto"/>
        <w:ind w:left="432" w:firstLine="0"/>
      </w:pPr>
      <w:hyperlink w:anchor="sec_024" w:history="1">
        <w:r>
          <w:rPr>
            <w:rFonts w:ascii="Aptos" w:hAnsi="Aptos"/>
            <w:color w:val="176B87"/>
            <w:u w:val="none"/>
            <w:sz w:val="17"/>
          </w:rPr>
          <w:t>8.1 Motor de reparto</w:t>
        </w:r>
      </w:hyperlink>
    </w:p>
    <w:p>
      <w:pPr>
        <w:keepLines/>
        <w:spacing w:before="0" w:after="10" w:line="240" w:lineRule="auto"/>
        <w:ind w:left="432" w:firstLine="0"/>
      </w:pPr>
      <w:hyperlink w:anchor="sec_025" w:history="1">
        <w:r>
          <w:rPr>
            <w:rFonts w:ascii="Aptos" w:hAnsi="Aptos"/>
            <w:color w:val="176B87"/>
            <w:u w:val="none"/>
            <w:sz w:val="17"/>
          </w:rPr>
          <w:t>8.2 Dinero y controles</w:t>
        </w:r>
      </w:hyperlink>
    </w:p>
    <w:p>
      <w:pPr>
        <w:keepLines/>
        <w:spacing w:before="30" w:after="50" w:line="240" w:lineRule="auto"/>
        <w:ind w:left="0" w:firstLine="0"/>
      </w:pPr>
      <w:hyperlink w:anchor="sec_026" w:history="1">
        <w:r>
          <w:rPr>
            <w:rFonts w:ascii="Aptos" w:hAnsi="Aptos"/>
            <w:color w:val="16324F"/>
            <w:u w:val="none"/>
            <w:sz w:val="18"/>
            <w:b/>
          </w:rPr>
          <w:t>9. Juntas, acuerdos y gobierno</w:t>
        </w:r>
      </w:hyperlink>
    </w:p>
    <w:p>
      <w:pPr>
        <w:keepLines/>
        <w:spacing w:before="0" w:after="10" w:line="240" w:lineRule="auto"/>
        <w:ind w:left="432" w:firstLine="0"/>
      </w:pPr>
      <w:hyperlink w:anchor="sec_027" w:history="1">
        <w:r>
          <w:rPr>
            <w:rFonts w:ascii="Aptos" w:hAnsi="Aptos"/>
            <w:color w:val="176B87"/>
            <w:u w:val="none"/>
            <w:sz w:val="17"/>
          </w:rPr>
          <w:t>9.1 Ciclo completo de una Junta</w:t>
        </w:r>
      </w:hyperlink>
    </w:p>
    <w:p>
      <w:pPr>
        <w:keepLines/>
        <w:spacing w:before="0" w:after="10" w:line="240" w:lineRule="auto"/>
        <w:ind w:left="432" w:firstLine="0"/>
      </w:pPr>
      <w:hyperlink w:anchor="sec_028" w:history="1">
        <w:r>
          <w:rPr>
            <w:rFonts w:ascii="Aptos" w:hAnsi="Aptos"/>
            <w:color w:val="176B87"/>
            <w:u w:val="none"/>
            <w:sz w:val="17"/>
          </w:rPr>
          <w:t>9.2 Motor de mayorías</w:t>
        </w:r>
      </w:hyperlink>
    </w:p>
    <w:p>
      <w:pPr>
        <w:keepLines/>
        <w:spacing w:before="0" w:after="10" w:line="240" w:lineRule="auto"/>
        <w:ind w:left="432" w:firstLine="0"/>
      </w:pPr>
      <w:hyperlink w:anchor="sec_029" w:history="1">
        <w:r>
          <w:rPr>
            <w:rFonts w:ascii="Aptos" w:hAnsi="Aptos"/>
            <w:color w:val="176B87"/>
            <w:u w:val="none"/>
            <w:sz w:val="17"/>
          </w:rPr>
          <w:t>9.3 Voto y reunión digital</w:t>
        </w:r>
      </w:hyperlink>
    </w:p>
    <w:p>
      <w:pPr>
        <w:keepLines/>
        <w:spacing w:before="30" w:after="50" w:line="240" w:lineRule="auto"/>
        <w:ind w:left="0" w:firstLine="0"/>
      </w:pPr>
      <w:hyperlink w:anchor="sec_030" w:history="1">
        <w:r>
          <w:rPr>
            <w:rFonts w:ascii="Aptos" w:hAnsi="Aptos"/>
            <w:color w:val="16324F"/>
            <w:u w:val="none"/>
            <w:sz w:val="18"/>
            <w:b/>
          </w:rPr>
          <w:t>10. Comunicación, avisos y participación</w:t>
        </w:r>
      </w:hyperlink>
    </w:p>
    <w:p>
      <w:pPr>
        <w:keepLines/>
        <w:spacing w:before="0" w:after="10" w:line="240" w:lineRule="auto"/>
        <w:ind w:left="432" w:firstLine="0"/>
      </w:pPr>
      <w:hyperlink w:anchor="sec_031" w:history="1">
        <w:r>
          <w:rPr>
            <w:rFonts w:ascii="Aptos" w:hAnsi="Aptos"/>
            <w:color w:val="176B87"/>
            <w:u w:val="none"/>
            <w:sz w:val="17"/>
          </w:rPr>
          <w:t>10.1 Tipos de comunicación</w:t>
        </w:r>
      </w:hyperlink>
    </w:p>
    <w:p>
      <w:pPr>
        <w:keepLines/>
        <w:spacing w:before="0" w:after="10" w:line="240" w:lineRule="auto"/>
        <w:ind w:left="432" w:firstLine="0"/>
      </w:pPr>
      <w:hyperlink w:anchor="sec_032" w:history="1">
        <w:r>
          <w:rPr>
            <w:rFonts w:ascii="Aptos" w:hAnsi="Aptos"/>
            <w:color w:val="176B87"/>
            <w:u w:val="none"/>
            <w:sz w:val="17"/>
          </w:rPr>
          <w:t>10.2 Reglas de privacidad</w:t>
        </w:r>
      </w:hyperlink>
    </w:p>
    <w:p>
      <w:pPr>
        <w:keepLines/>
        <w:spacing w:before="30" w:after="50" w:line="240" w:lineRule="auto"/>
        <w:ind w:left="0" w:firstLine="0"/>
      </w:pPr>
      <w:hyperlink w:anchor="sec_033" w:history="1">
        <w:r>
          <w:rPr>
            <w:rFonts w:ascii="Aptos" w:hAnsi="Aptos"/>
            <w:color w:val="16324F"/>
            <w:u w:val="none"/>
            <w:sz w:val="18"/>
            <w:b/>
          </w:rPr>
          <w:t>11. Incidencias, mantenimiento, obras y activos</w:t>
        </w:r>
      </w:hyperlink>
    </w:p>
    <w:p>
      <w:pPr>
        <w:keepLines/>
        <w:spacing w:before="0" w:after="10" w:line="240" w:lineRule="auto"/>
        <w:ind w:left="432" w:firstLine="0"/>
      </w:pPr>
      <w:hyperlink w:anchor="sec_034" w:history="1">
        <w:r>
          <w:rPr>
            <w:rFonts w:ascii="Aptos" w:hAnsi="Aptos"/>
            <w:color w:val="176B87"/>
            <w:u w:val="none"/>
            <w:sz w:val="17"/>
          </w:rPr>
          <w:t>11.1 Gestión de incidencias</w:t>
        </w:r>
      </w:hyperlink>
    </w:p>
    <w:p>
      <w:pPr>
        <w:keepLines/>
        <w:spacing w:before="0" w:after="10" w:line="240" w:lineRule="auto"/>
        <w:ind w:left="432" w:firstLine="0"/>
      </w:pPr>
      <w:hyperlink w:anchor="sec_035" w:history="1">
        <w:r>
          <w:rPr>
            <w:rFonts w:ascii="Aptos" w:hAnsi="Aptos"/>
            <w:color w:val="176B87"/>
            <w:u w:val="none"/>
            <w:sz w:val="17"/>
          </w:rPr>
          <w:t>11.2 Mantenimiento preventivo y activos</w:t>
        </w:r>
      </w:hyperlink>
    </w:p>
    <w:p>
      <w:pPr>
        <w:keepLines/>
        <w:spacing w:before="0" w:after="10" w:line="240" w:lineRule="auto"/>
        <w:ind w:left="432" w:firstLine="0"/>
      </w:pPr>
      <w:hyperlink w:anchor="sec_036" w:history="1">
        <w:r>
          <w:rPr>
            <w:rFonts w:ascii="Aptos" w:hAnsi="Aptos"/>
            <w:color w:val="176B87"/>
            <w:u w:val="none"/>
            <w:sz w:val="17"/>
          </w:rPr>
          <w:t>11.3 Obras y proyectos</w:t>
        </w:r>
      </w:hyperlink>
    </w:p>
    <w:p>
      <w:pPr>
        <w:keepLines/>
        <w:spacing w:before="0" w:after="10" w:line="240" w:lineRule="auto"/>
        <w:ind w:left="432" w:firstLine="0"/>
      </w:pPr>
      <w:hyperlink w:anchor="sec_037" w:history="1">
        <w:r>
          <w:rPr>
            <w:rFonts w:ascii="Aptos" w:hAnsi="Aptos"/>
            <w:color w:val="176B87"/>
            <w:u w:val="none"/>
            <w:sz w:val="17"/>
          </w:rPr>
          <w:t>11.4 Seguros y siniestros</w:t>
        </w:r>
      </w:hyperlink>
    </w:p>
    <w:p>
      <w:pPr>
        <w:keepLines/>
        <w:spacing w:before="30" w:after="50" w:line="240" w:lineRule="auto"/>
        <w:ind w:left="0" w:firstLine="0"/>
      </w:pPr>
      <w:hyperlink w:anchor="sec_038" w:history="1">
        <w:r>
          <w:rPr>
            <w:rFonts w:ascii="Aptos" w:hAnsi="Aptos"/>
            <w:color w:val="16324F"/>
            <w:u w:val="none"/>
            <w:sz w:val="18"/>
            <w:b/>
          </w:rPr>
          <w:t>12. Módulos complementarios</w:t>
        </w:r>
      </w:hyperlink>
    </w:p>
    <w:p>
      <w:pPr>
        <w:keepLines/>
        <w:spacing w:before="30" w:after="50" w:line="240" w:lineRule="auto"/>
        <w:ind w:left="0" w:firstLine="0"/>
      </w:pPr>
      <w:hyperlink w:anchor="sec_039" w:history="1">
        <w:r>
          <w:rPr>
            <w:rFonts w:ascii="Aptos" w:hAnsi="Aptos"/>
            <w:color w:val="16324F"/>
            <w:u w:val="none"/>
            <w:sz w:val="18"/>
            <w:b/>
          </w:rPr>
          <w:t>13. Gestión documental y memoria institucional</w:t>
        </w:r>
      </w:hyperlink>
    </w:p>
    <w:p>
      <w:pPr>
        <w:keepLines/>
        <w:spacing w:before="0" w:after="10" w:line="240" w:lineRule="auto"/>
        <w:ind w:left="432" w:firstLine="0"/>
      </w:pPr>
      <w:hyperlink w:anchor="sec_040" w:history="1">
        <w:r>
          <w:rPr>
            <w:rFonts w:ascii="Aptos" w:hAnsi="Aptos"/>
            <w:color w:val="176B87"/>
            <w:u w:val="none"/>
            <w:sz w:val="17"/>
          </w:rPr>
          <w:t>13.1 Clasificación</w:t>
        </w:r>
      </w:hyperlink>
    </w:p>
    <w:p>
      <w:pPr>
        <w:keepLines/>
        <w:spacing w:before="0" w:after="10" w:line="240" w:lineRule="auto"/>
        <w:ind w:left="432" w:firstLine="0"/>
      </w:pPr>
      <w:hyperlink w:anchor="sec_041" w:history="1">
        <w:r>
          <w:rPr>
            <w:rFonts w:ascii="Aptos" w:hAnsi="Aptos"/>
            <w:color w:val="176B87"/>
            <w:u w:val="none"/>
            <w:sz w:val="17"/>
          </w:rPr>
          <w:t>13.2 Propiedades del documento</w:t>
        </w:r>
      </w:hyperlink>
    </w:p>
    <w:p>
      <w:pPr>
        <w:keepLines/>
        <w:spacing w:before="0" w:after="10" w:line="240" w:lineRule="auto"/>
        <w:ind w:left="432" w:firstLine="0"/>
      </w:pPr>
      <w:hyperlink w:anchor="sec_042" w:history="1">
        <w:r>
          <w:rPr>
            <w:rFonts w:ascii="Aptos" w:hAnsi="Aptos"/>
            <w:color w:val="176B87"/>
            <w:u w:val="none"/>
            <w:sz w:val="17"/>
          </w:rPr>
          <w:t>13.3 Controles</w:t>
        </w:r>
      </w:hyperlink>
    </w:p>
    <w:p>
      <w:pPr>
        <w:keepLines/>
        <w:spacing w:before="0" w:after="10" w:line="240" w:lineRule="auto"/>
        <w:ind w:left="432" w:firstLine="0"/>
      </w:pPr>
      <w:hyperlink w:anchor="sec_043" w:history="1">
        <w:r>
          <w:rPr>
            <w:rFonts w:ascii="Aptos" w:hAnsi="Aptos"/>
            <w:color w:val="176B87"/>
            <w:u w:val="none"/>
            <w:sz w:val="17"/>
          </w:rPr>
          <w:t>13.4 Conservación</w:t>
        </w:r>
      </w:hyperlink>
    </w:p>
    <w:p>
      <w:pPr>
        <w:keepLines/>
        <w:spacing w:before="30" w:after="50" w:line="240" w:lineRule="auto"/>
        <w:ind w:left="0" w:firstLine="0"/>
      </w:pPr>
      <w:hyperlink w:anchor="sec_044" w:history="1">
        <w:r>
          <w:rPr>
            <w:rFonts w:ascii="Aptos" w:hAnsi="Aptos"/>
            <w:color w:val="16324F"/>
            <w:u w:val="none"/>
            <w:sz w:val="18"/>
            <w:b/>
          </w:rPr>
          <w:t>14. Cambio de administrador sin cambio de app</w:t>
        </w:r>
      </w:hyperlink>
    </w:p>
    <w:p>
      <w:pPr>
        <w:keepLines/>
        <w:spacing w:before="0" w:after="10" w:line="240" w:lineRule="auto"/>
        <w:ind w:left="432" w:firstLine="0"/>
      </w:pPr>
      <w:hyperlink w:anchor="sec_045" w:history="1">
        <w:r>
          <w:rPr>
            <w:rFonts w:ascii="Aptos" w:hAnsi="Aptos"/>
            <w:color w:val="176B87"/>
            <w:u w:val="none"/>
            <w:sz w:val="17"/>
          </w:rPr>
          <w:t>14.1 Condiciones previas</w:t>
        </w:r>
      </w:hyperlink>
    </w:p>
    <w:p>
      <w:pPr>
        <w:keepLines/>
        <w:spacing w:before="0" w:after="10" w:line="240" w:lineRule="auto"/>
        <w:ind w:left="432" w:firstLine="0"/>
      </w:pPr>
      <w:hyperlink w:anchor="sec_046" w:history="1">
        <w:r>
          <w:rPr>
            <w:rFonts w:ascii="Aptos" w:hAnsi="Aptos"/>
            <w:color w:val="176B87"/>
            <w:u w:val="none"/>
            <w:sz w:val="17"/>
          </w:rPr>
          <w:t>14.2 Flujo de transición</w:t>
        </w:r>
      </w:hyperlink>
    </w:p>
    <w:p>
      <w:pPr>
        <w:keepLines/>
        <w:spacing w:before="0" w:after="10" w:line="240" w:lineRule="auto"/>
        <w:ind w:left="432" w:firstLine="0"/>
      </w:pPr>
      <w:hyperlink w:anchor="sec_047" w:history="1">
        <w:r>
          <w:rPr>
            <w:rFonts w:ascii="Aptos" w:hAnsi="Aptos"/>
            <w:color w:val="176B87"/>
            <w:u w:val="none"/>
            <w:sz w:val="17"/>
          </w:rPr>
          <w:t>14.3 Reglas técnicas de salida</w:t>
        </w:r>
      </w:hyperlink>
    </w:p>
    <w:p>
      <w:pPr>
        <w:keepLines/>
        <w:spacing w:before="30" w:after="50" w:line="240" w:lineRule="auto"/>
        <w:ind w:left="0" w:firstLine="0"/>
      </w:pPr>
      <w:hyperlink w:anchor="sec_048" w:history="1">
        <w:r>
          <w:rPr>
            <w:rFonts w:ascii="Aptos" w:hAnsi="Aptos"/>
            <w:color w:val="16324F"/>
            <w:u w:val="none"/>
            <w:sz w:val="18"/>
            <w:b/>
          </w:rPr>
          <w:t>15. Marco jurídico y de cumplimiento en España</w:t>
        </w:r>
      </w:hyperlink>
    </w:p>
    <w:p>
      <w:pPr>
        <w:keepLines/>
        <w:spacing w:before="0" w:after="10" w:line="240" w:lineRule="auto"/>
        <w:ind w:left="432" w:firstLine="0"/>
      </w:pPr>
      <w:hyperlink w:anchor="sec_049" w:history="1">
        <w:r>
          <w:rPr>
            <w:rFonts w:ascii="Aptos" w:hAnsi="Aptos"/>
            <w:color w:val="176B87"/>
            <w:u w:val="none"/>
            <w:sz w:val="17"/>
          </w:rPr>
          <w:t>15.1 Normas y criterios de referencia</w:t>
        </w:r>
      </w:hyperlink>
    </w:p>
    <w:p>
      <w:pPr>
        <w:keepLines/>
        <w:spacing w:before="0" w:after="10" w:line="240" w:lineRule="auto"/>
        <w:ind w:left="432" w:firstLine="0"/>
      </w:pPr>
      <w:hyperlink w:anchor="sec_050" w:history="1">
        <w:r>
          <w:rPr>
            <w:rFonts w:ascii="Aptos" w:hAnsi="Aptos"/>
            <w:color w:val="176B87"/>
            <w:u w:val="none"/>
            <w:sz w:val="17"/>
          </w:rPr>
          <w:t>15.2 Correspondencia con la LPH</w:t>
        </w:r>
      </w:hyperlink>
    </w:p>
    <w:p>
      <w:pPr>
        <w:keepLines/>
        <w:spacing w:before="0" w:after="10" w:line="240" w:lineRule="auto"/>
        <w:ind w:left="432" w:firstLine="0"/>
      </w:pPr>
      <w:hyperlink w:anchor="sec_051" w:history="1">
        <w:r>
          <w:rPr>
            <w:rFonts w:ascii="Aptos" w:hAnsi="Aptos"/>
            <w:color w:val="176B87"/>
            <w:u w:val="none"/>
            <w:sz w:val="17"/>
          </w:rPr>
          <w:t>15.3 Decisiones que requieren dictamen antes del lanzamiento</w:t>
        </w:r>
      </w:hyperlink>
    </w:p>
    <w:p>
      <w:pPr>
        <w:keepLines/>
        <w:spacing w:before="30" w:after="50" w:line="240" w:lineRule="auto"/>
        <w:ind w:left="0" w:firstLine="0"/>
      </w:pPr>
      <w:hyperlink w:anchor="sec_052" w:history="1">
        <w:r>
          <w:rPr>
            <w:rFonts w:ascii="Aptos" w:hAnsi="Aptos"/>
            <w:color w:val="16324F"/>
            <w:u w:val="none"/>
            <w:sz w:val="18"/>
            <w:b/>
          </w:rPr>
          <w:t>16. Privacidad y protección de datos desde el diseño</w:t>
        </w:r>
      </w:hyperlink>
    </w:p>
    <w:p>
      <w:pPr>
        <w:keepLines/>
        <w:spacing w:before="0" w:after="10" w:line="240" w:lineRule="auto"/>
        <w:ind w:left="432" w:firstLine="0"/>
      </w:pPr>
      <w:hyperlink w:anchor="sec_053" w:history="1">
        <w:r>
          <w:rPr>
            <w:rFonts w:ascii="Aptos" w:hAnsi="Aptos"/>
            <w:color w:val="176B87"/>
            <w:u w:val="none"/>
            <w:sz w:val="17"/>
          </w:rPr>
          <w:t>16.1 Reparto de papeles</w:t>
        </w:r>
      </w:hyperlink>
    </w:p>
    <w:p>
      <w:pPr>
        <w:keepLines/>
        <w:spacing w:before="0" w:after="10" w:line="240" w:lineRule="auto"/>
        <w:ind w:left="432" w:firstLine="0"/>
      </w:pPr>
      <w:hyperlink w:anchor="sec_054" w:history="1">
        <w:r>
          <w:rPr>
            <w:rFonts w:ascii="Aptos" w:hAnsi="Aptos"/>
            <w:color w:val="176B87"/>
            <w:u w:val="none"/>
            <w:sz w:val="17"/>
          </w:rPr>
          <w:t>16.2 Inventario inicial de tratamientos</w:t>
        </w:r>
      </w:hyperlink>
    </w:p>
    <w:p>
      <w:pPr>
        <w:keepLines/>
        <w:spacing w:before="0" w:after="10" w:line="240" w:lineRule="auto"/>
        <w:ind w:left="432" w:firstLine="0"/>
      </w:pPr>
      <w:hyperlink w:anchor="sec_055" w:history="1">
        <w:r>
          <w:rPr>
            <w:rFonts w:ascii="Aptos" w:hAnsi="Aptos"/>
            <w:color w:val="176B87"/>
            <w:u w:val="none"/>
            <w:sz w:val="17"/>
          </w:rPr>
          <w:t>16.3 Controles obligatorios</w:t>
        </w:r>
      </w:hyperlink>
    </w:p>
    <w:p>
      <w:pPr>
        <w:keepLines/>
        <w:spacing w:before="0" w:after="10" w:line="240" w:lineRule="auto"/>
        <w:ind w:left="432" w:firstLine="0"/>
      </w:pPr>
      <w:hyperlink w:anchor="sec_056" w:history="1">
        <w:r>
          <w:rPr>
            <w:rFonts w:ascii="Aptos" w:hAnsi="Aptos"/>
            <w:color w:val="176B87"/>
            <w:u w:val="none"/>
            <w:sz w:val="17"/>
          </w:rPr>
          <w:t>16.4 Casos especialmente sensibles</w:t>
        </w:r>
      </w:hyperlink>
    </w:p>
    <w:p>
      <w:pPr>
        <w:keepLines/>
        <w:spacing w:before="30" w:after="50" w:line="240" w:lineRule="auto"/>
        <w:ind w:left="0" w:firstLine="0"/>
      </w:pPr>
      <w:hyperlink w:anchor="sec_057" w:history="1">
        <w:r>
          <w:rPr>
            <w:rFonts w:ascii="Aptos" w:hAnsi="Aptos"/>
            <w:color w:val="16324F"/>
            <w:u w:val="none"/>
            <w:sz w:val="18"/>
            <w:b/>
          </w:rPr>
          <w:t>17. Seguridad, fraude y resiliencia</w:t>
        </w:r>
      </w:hyperlink>
    </w:p>
    <w:p>
      <w:pPr>
        <w:keepLines/>
        <w:spacing w:before="0" w:after="10" w:line="240" w:lineRule="auto"/>
        <w:ind w:left="432" w:firstLine="0"/>
      </w:pPr>
      <w:hyperlink w:anchor="sec_058" w:history="1">
        <w:r>
          <w:rPr>
            <w:rFonts w:ascii="Aptos" w:hAnsi="Aptos"/>
            <w:color w:val="176B87"/>
            <w:u w:val="none"/>
            <w:sz w:val="17"/>
          </w:rPr>
          <w:t>17.1 Modelo de amenazas</w:t>
        </w:r>
      </w:hyperlink>
    </w:p>
    <w:p>
      <w:pPr>
        <w:keepLines/>
        <w:spacing w:before="0" w:after="10" w:line="240" w:lineRule="auto"/>
        <w:ind w:left="432" w:firstLine="0"/>
      </w:pPr>
      <w:hyperlink w:anchor="sec_059" w:history="1">
        <w:r>
          <w:rPr>
            <w:rFonts w:ascii="Aptos" w:hAnsi="Aptos"/>
            <w:color w:val="176B87"/>
            <w:u w:val="none"/>
            <w:sz w:val="17"/>
          </w:rPr>
          <w:t>17.2 Controles técnicos</w:t>
        </w:r>
      </w:hyperlink>
    </w:p>
    <w:p>
      <w:pPr>
        <w:keepLines/>
        <w:spacing w:before="0" w:after="10" w:line="240" w:lineRule="auto"/>
        <w:ind w:left="432" w:firstLine="0"/>
      </w:pPr>
      <w:hyperlink w:anchor="sec_060" w:history="1">
        <w:r>
          <w:rPr>
            <w:rFonts w:ascii="Aptos" w:hAnsi="Aptos"/>
            <w:color w:val="176B87"/>
            <w:u w:val="none"/>
            <w:sz w:val="17"/>
          </w:rPr>
          <w:t>17.3 Registro de auditoría</w:t>
        </w:r>
      </w:hyperlink>
    </w:p>
    <w:p>
      <w:pPr>
        <w:keepLines/>
        <w:spacing w:before="0" w:after="10" w:line="240" w:lineRule="auto"/>
        <w:ind w:left="432" w:firstLine="0"/>
      </w:pPr>
      <w:hyperlink w:anchor="sec_061" w:history="1">
        <w:r>
          <w:rPr>
            <w:rFonts w:ascii="Aptos" w:hAnsi="Aptos"/>
            <w:color w:val="176B87"/>
            <w:u w:val="none"/>
            <w:sz w:val="17"/>
          </w:rPr>
          <w:t>17.4 Brechas</w:t>
        </w:r>
      </w:hyperlink>
    </w:p>
    <w:p>
      <w:pPr>
        <w:keepLines/>
        <w:spacing w:before="0" w:after="10" w:line="240" w:lineRule="auto"/>
        <w:ind w:left="432" w:firstLine="0"/>
      </w:pPr>
      <w:hyperlink w:anchor="sec_062" w:history="1">
        <w:r>
          <w:rPr>
            <w:rFonts w:ascii="Aptos" w:hAnsi="Aptos"/>
            <w:color w:val="176B87"/>
            <w:u w:val="none"/>
            <w:sz w:val="17"/>
          </w:rPr>
          <w:t>17.5 Objetivos de resiliencia</w:t>
        </w:r>
      </w:hyperlink>
    </w:p>
    <w:p>
      <w:pPr>
        <w:keepLines/>
        <w:spacing w:before="30" w:after="50" w:line="240" w:lineRule="auto"/>
        <w:ind w:left="0" w:firstLine="0"/>
      </w:pPr>
      <w:hyperlink w:anchor="sec_063" w:history="1">
        <w:r>
          <w:rPr>
            <w:rFonts w:ascii="Aptos" w:hAnsi="Aptos"/>
            <w:color w:val="16324F"/>
            <w:u w:val="none"/>
            <w:sz w:val="18"/>
            <w:b/>
          </w:rPr>
          <w:t>18. Modelo de información</w:t>
        </w:r>
      </w:hyperlink>
    </w:p>
    <w:p>
      <w:pPr>
        <w:keepLines/>
        <w:spacing w:before="0" w:after="10" w:line="240" w:lineRule="auto"/>
        <w:ind w:left="432" w:firstLine="0"/>
      </w:pPr>
      <w:hyperlink w:anchor="sec_064" w:history="1">
        <w:r>
          <w:rPr>
            <w:rFonts w:ascii="Aptos" w:hAnsi="Aptos"/>
            <w:color w:val="176B87"/>
            <w:u w:val="none"/>
            <w:sz w:val="17"/>
          </w:rPr>
          <w:t>18.1 Agregados principales</w:t>
        </w:r>
      </w:hyperlink>
    </w:p>
    <w:p>
      <w:pPr>
        <w:keepLines/>
        <w:spacing w:before="0" w:after="10" w:line="240" w:lineRule="auto"/>
        <w:ind w:left="432" w:firstLine="0"/>
      </w:pPr>
      <w:hyperlink w:anchor="sec_065" w:history="1">
        <w:r>
          <w:rPr>
            <w:rFonts w:ascii="Aptos" w:hAnsi="Aptos"/>
            <w:color w:val="176B87"/>
            <w:u w:val="none"/>
            <w:sz w:val="17"/>
          </w:rPr>
          <w:t>18.2 Reglas de modelado</w:t>
        </w:r>
      </w:hyperlink>
    </w:p>
    <w:p>
      <w:pPr>
        <w:keepLines/>
        <w:spacing w:before="0" w:after="10" w:line="240" w:lineRule="auto"/>
        <w:ind w:left="432" w:firstLine="0"/>
      </w:pPr>
      <w:hyperlink w:anchor="sec_066" w:history="1">
        <w:r>
          <w:rPr>
            <w:rFonts w:ascii="Aptos" w:hAnsi="Aptos"/>
            <w:color w:val="176B87"/>
            <w:u w:val="none"/>
            <w:sz w:val="17"/>
          </w:rPr>
          <w:t>18.3 Multi-tenancy</w:t>
        </w:r>
      </w:hyperlink>
    </w:p>
    <w:p>
      <w:pPr>
        <w:keepLines/>
        <w:spacing w:before="30" w:after="50" w:line="240" w:lineRule="auto"/>
        <w:ind w:left="0" w:firstLine="0"/>
      </w:pPr>
      <w:hyperlink w:anchor="sec_067" w:history="1">
        <w:r>
          <w:rPr>
            <w:rFonts w:ascii="Aptos" w:hAnsi="Aptos"/>
            <w:color w:val="16324F"/>
            <w:u w:val="none"/>
            <w:sz w:val="18"/>
            <w:b/>
          </w:rPr>
          <w:t>19. Arquitectura técnica propuesta</w:t>
        </w:r>
      </w:hyperlink>
    </w:p>
    <w:p>
      <w:pPr>
        <w:keepLines/>
        <w:spacing w:before="0" w:after="10" w:line="240" w:lineRule="auto"/>
        <w:ind w:left="432" w:firstLine="0"/>
      </w:pPr>
      <w:hyperlink w:anchor="sec_068" w:history="1">
        <w:r>
          <w:rPr>
            <w:rFonts w:ascii="Aptos" w:hAnsi="Aptos"/>
            <w:color w:val="176B87"/>
            <w:u w:val="none"/>
            <w:sz w:val="17"/>
          </w:rPr>
          <w:t>19.1 Enfoque</w:t>
        </w:r>
      </w:hyperlink>
    </w:p>
    <w:p>
      <w:pPr>
        <w:keepLines/>
        <w:spacing w:before="0" w:after="10" w:line="240" w:lineRule="auto"/>
        <w:ind w:left="432" w:firstLine="0"/>
      </w:pPr>
      <w:hyperlink w:anchor="sec_069" w:history="1">
        <w:r>
          <w:rPr>
            <w:rFonts w:ascii="Aptos" w:hAnsi="Aptos"/>
            <w:color w:val="176B87"/>
            <w:u w:val="none"/>
            <w:sz w:val="17"/>
          </w:rPr>
          <w:t>19.2 Módulos del backend</w:t>
        </w:r>
      </w:hyperlink>
    </w:p>
    <w:p>
      <w:pPr>
        <w:keepLines/>
        <w:spacing w:before="0" w:after="10" w:line="240" w:lineRule="auto"/>
        <w:ind w:left="432" w:firstLine="0"/>
      </w:pPr>
      <w:hyperlink w:anchor="sec_070" w:history="1">
        <w:r>
          <w:rPr>
            <w:rFonts w:ascii="Aptos" w:hAnsi="Aptos"/>
            <w:color w:val="176B87"/>
            <w:u w:val="none"/>
            <w:sz w:val="17"/>
          </w:rPr>
          <w:t>19.3 Eventos de dominio</w:t>
        </w:r>
      </w:hyperlink>
    </w:p>
    <w:p>
      <w:pPr>
        <w:keepLines/>
        <w:spacing w:before="0" w:after="10" w:line="240" w:lineRule="auto"/>
        <w:ind w:left="432" w:firstLine="0"/>
      </w:pPr>
      <w:hyperlink w:anchor="sec_071" w:history="1">
        <w:r>
          <w:rPr>
            <w:rFonts w:ascii="Aptos" w:hAnsi="Aptos"/>
            <w:color w:val="176B87"/>
            <w:u w:val="none"/>
            <w:sz w:val="17"/>
          </w:rPr>
          <w:t>19.4 API y extensibilidad</w:t>
        </w:r>
      </w:hyperlink>
    </w:p>
    <w:p>
      <w:pPr>
        <w:keepLines/>
        <w:spacing w:before="30" w:after="50" w:line="240" w:lineRule="auto"/>
        <w:ind w:left="0" w:firstLine="0"/>
      </w:pPr>
      <w:hyperlink w:anchor="sec_072" w:history="1">
        <w:r>
          <w:rPr>
            <w:rFonts w:ascii="Aptos" w:hAnsi="Aptos"/>
            <w:color w:val="16324F"/>
            <w:u w:val="none"/>
            <w:sz w:val="18"/>
            <w:b/>
          </w:rPr>
          <w:t>20. Integraciones</w:t>
        </w:r>
      </w:hyperlink>
    </w:p>
    <w:p>
      <w:pPr>
        <w:keepLines/>
        <w:spacing w:before="30" w:after="50" w:line="240" w:lineRule="auto"/>
        <w:ind w:left="0" w:firstLine="0"/>
      </w:pPr>
      <w:hyperlink w:anchor="sec_073" w:history="1">
        <w:r>
          <w:rPr>
            <w:rFonts w:ascii="Aptos" w:hAnsi="Aptos"/>
            <w:color w:val="16324F"/>
            <w:u w:val="none"/>
            <w:sz w:val="18"/>
            <w:b/>
          </w:rPr>
          <w:t>21. Inteligencia artificial y automatización responsable</w:t>
        </w:r>
      </w:hyperlink>
    </w:p>
    <w:p>
      <w:pPr>
        <w:keepLines/>
        <w:spacing w:before="0" w:after="10" w:line="240" w:lineRule="auto"/>
        <w:ind w:left="432" w:firstLine="0"/>
      </w:pPr>
      <w:hyperlink w:anchor="sec_074" w:history="1">
        <w:r>
          <w:rPr>
            <w:rFonts w:ascii="Aptos" w:hAnsi="Aptos"/>
            <w:color w:val="176B87"/>
            <w:u w:val="none"/>
            <w:sz w:val="17"/>
          </w:rPr>
          <w:t>21.1 Casos permitidos</w:t>
        </w:r>
      </w:hyperlink>
    </w:p>
    <w:p>
      <w:pPr>
        <w:keepLines/>
        <w:spacing w:before="0" w:after="10" w:line="240" w:lineRule="auto"/>
        <w:ind w:left="432" w:firstLine="0"/>
      </w:pPr>
      <w:hyperlink w:anchor="sec_075" w:history="1">
        <w:r>
          <w:rPr>
            <w:rFonts w:ascii="Aptos" w:hAnsi="Aptos"/>
            <w:color w:val="176B87"/>
            <w:u w:val="none"/>
            <w:sz w:val="17"/>
          </w:rPr>
          <w:t>21.2 Límites</w:t>
        </w:r>
      </w:hyperlink>
    </w:p>
    <w:p>
      <w:pPr>
        <w:keepLines/>
        <w:spacing w:before="30" w:after="50" w:line="240" w:lineRule="auto"/>
        <w:ind w:left="0" w:firstLine="0"/>
      </w:pPr>
      <w:hyperlink w:anchor="sec_076" w:history="1">
        <w:r>
          <w:rPr>
            <w:rFonts w:ascii="Aptos" w:hAnsi="Aptos"/>
            <w:color w:val="16324F"/>
            <w:u w:val="none"/>
            <w:sz w:val="18"/>
            <w:b/>
          </w:rPr>
          <w:t>22. Diseño UX, accesibilidad y sistema visual</w:t>
        </w:r>
      </w:hyperlink>
    </w:p>
    <w:p>
      <w:pPr>
        <w:keepLines/>
        <w:spacing w:before="0" w:after="10" w:line="240" w:lineRule="auto"/>
        <w:ind w:left="432" w:firstLine="0"/>
      </w:pPr>
      <w:hyperlink w:anchor="sec_077" w:history="1">
        <w:r>
          <w:rPr>
            <w:rFonts w:ascii="Aptos" w:hAnsi="Aptos"/>
            <w:color w:val="176B87"/>
            <w:u w:val="none"/>
            <w:sz w:val="17"/>
          </w:rPr>
          <w:t>22.1 Arquitectura de información</w:t>
        </w:r>
      </w:hyperlink>
    </w:p>
    <w:p>
      <w:pPr>
        <w:keepLines/>
        <w:spacing w:before="0" w:after="10" w:line="240" w:lineRule="auto"/>
        <w:ind w:left="432" w:firstLine="0"/>
      </w:pPr>
      <w:hyperlink w:anchor="sec_078" w:history="1">
        <w:r>
          <w:rPr>
            <w:rFonts w:ascii="Aptos" w:hAnsi="Aptos"/>
            <w:color w:val="176B87"/>
            <w:u w:val="none"/>
            <w:sz w:val="17"/>
          </w:rPr>
          <w:t>22.2 Reglas de interfaz</w:t>
        </w:r>
      </w:hyperlink>
    </w:p>
    <w:p>
      <w:pPr>
        <w:keepLines/>
        <w:spacing w:before="30" w:after="50" w:line="240" w:lineRule="auto"/>
        <w:ind w:left="0" w:firstLine="0"/>
      </w:pPr>
      <w:hyperlink w:anchor="sec_079" w:history="1">
        <w:r>
          <w:rPr>
            <w:rFonts w:ascii="Aptos" w:hAnsi="Aptos"/>
            <w:color w:val="16324F"/>
            <w:u w:val="none"/>
            <w:sz w:val="18"/>
            <w:b/>
          </w:rPr>
          <w:t>23. MVP y priorización</w:t>
        </w:r>
      </w:hyperlink>
    </w:p>
    <w:p>
      <w:pPr>
        <w:keepLines/>
        <w:spacing w:before="0" w:after="10" w:line="240" w:lineRule="auto"/>
        <w:ind w:left="432" w:firstLine="0"/>
      </w:pPr>
      <w:hyperlink w:anchor="sec_080" w:history="1">
        <w:r>
          <w:rPr>
            <w:rFonts w:ascii="Aptos" w:hAnsi="Aptos"/>
            <w:color w:val="176B87"/>
            <w:u w:val="none"/>
            <w:sz w:val="17"/>
          </w:rPr>
          <w:t>23.1 Alcance del MVP</w:t>
        </w:r>
      </w:hyperlink>
    </w:p>
    <w:p>
      <w:pPr>
        <w:keepLines/>
        <w:spacing w:before="0" w:after="10" w:line="240" w:lineRule="auto"/>
        <w:ind w:left="432" w:firstLine="0"/>
      </w:pPr>
      <w:hyperlink w:anchor="sec_081" w:history="1">
        <w:r>
          <w:rPr>
            <w:rFonts w:ascii="Aptos" w:hAnsi="Aptos"/>
            <w:color w:val="176B87"/>
            <w:u w:val="none"/>
            <w:sz w:val="17"/>
          </w:rPr>
          <w:t>23.2 Fuera del MVP</w:t>
        </w:r>
      </w:hyperlink>
    </w:p>
    <w:p>
      <w:pPr>
        <w:keepLines/>
        <w:spacing w:before="0" w:after="10" w:line="240" w:lineRule="auto"/>
        <w:ind w:left="432" w:firstLine="0"/>
      </w:pPr>
      <w:hyperlink w:anchor="sec_082" w:history="1">
        <w:r>
          <w:rPr>
            <w:rFonts w:ascii="Aptos" w:hAnsi="Aptos"/>
            <w:color w:val="176B87"/>
            <w:u w:val="none"/>
            <w:sz w:val="17"/>
          </w:rPr>
          <w:t>23.3 Criterios de salida a piloto</w:t>
        </w:r>
      </w:hyperlink>
    </w:p>
    <w:p>
      <w:pPr>
        <w:keepLines/>
        <w:spacing w:before="30" w:after="50" w:line="240" w:lineRule="auto"/>
        <w:ind w:left="0" w:firstLine="0"/>
      </w:pPr>
      <w:hyperlink w:anchor="sec_083" w:history="1">
        <w:r>
          <w:rPr>
            <w:rFonts w:ascii="Aptos" w:hAnsi="Aptos"/>
            <w:color w:val="16324F"/>
            <w:u w:val="none"/>
            <w:sz w:val="18"/>
            <w:b/>
          </w:rPr>
          <w:t>24. Hoja de ruta propuesta</w:t>
        </w:r>
      </w:hyperlink>
    </w:p>
    <w:p>
      <w:pPr>
        <w:keepLines/>
        <w:spacing w:before="0" w:after="10" w:line="240" w:lineRule="auto"/>
        <w:ind w:left="432" w:firstLine="0"/>
      </w:pPr>
      <w:hyperlink w:anchor="sec_084" w:history="1">
        <w:r>
          <w:rPr>
            <w:rFonts w:ascii="Aptos" w:hAnsi="Aptos"/>
            <w:color w:val="176B87"/>
            <w:u w:val="none"/>
            <w:sz w:val="17"/>
          </w:rPr>
          <w:t>24.1 Equipo mínimo orientativo</w:t>
        </w:r>
      </w:hyperlink>
    </w:p>
    <w:p>
      <w:pPr>
        <w:keepLines/>
        <w:spacing w:before="30" w:after="50" w:line="240" w:lineRule="auto"/>
        <w:ind w:left="0" w:firstLine="0"/>
      </w:pPr>
      <w:hyperlink w:anchor="sec_085" w:history="1">
        <w:r>
          <w:rPr>
            <w:rFonts w:ascii="Aptos" w:hAnsi="Aptos"/>
            <w:color w:val="16324F"/>
            <w:u w:val="none"/>
            <w:sz w:val="18"/>
            <w:b/>
          </w:rPr>
          <w:t>25. Modelo de negocio y gobernanza comercial</w:t>
        </w:r>
      </w:hyperlink>
    </w:p>
    <w:p>
      <w:pPr>
        <w:keepLines/>
        <w:spacing w:before="0" w:after="10" w:line="240" w:lineRule="auto"/>
        <w:ind w:left="432" w:firstLine="0"/>
      </w:pPr>
      <w:hyperlink w:anchor="sec_086" w:history="1">
        <w:r>
          <w:rPr>
            <w:rFonts w:ascii="Aptos" w:hAnsi="Aptos"/>
            <w:color w:val="176B87"/>
            <w:u w:val="none"/>
            <w:sz w:val="17"/>
          </w:rPr>
          <w:t>25.1 Cliente y pagador</w:t>
        </w:r>
      </w:hyperlink>
    </w:p>
    <w:p>
      <w:pPr>
        <w:keepLines/>
        <w:spacing w:before="0" w:after="10" w:line="240" w:lineRule="auto"/>
        <w:ind w:left="432" w:firstLine="0"/>
      </w:pPr>
      <w:hyperlink w:anchor="sec_087" w:history="1">
        <w:r>
          <w:rPr>
            <w:rFonts w:ascii="Aptos" w:hAnsi="Aptos"/>
            <w:color w:val="176B87"/>
            <w:u w:val="none"/>
            <w:sz w:val="17"/>
          </w:rPr>
          <w:t>25.2 Opciones de precio</w:t>
        </w:r>
      </w:hyperlink>
    </w:p>
    <w:p>
      <w:pPr>
        <w:keepLines/>
        <w:spacing w:before="0" w:after="10" w:line="240" w:lineRule="auto"/>
        <w:ind w:left="432" w:firstLine="0"/>
      </w:pPr>
      <w:hyperlink w:anchor="sec_088" w:history="1">
        <w:r>
          <w:rPr>
            <w:rFonts w:ascii="Aptos" w:hAnsi="Aptos"/>
            <w:color w:val="176B87"/>
            <w:u w:val="none"/>
            <w:sz w:val="17"/>
          </w:rPr>
          <w:t>25.3 Cláusulas de confianza</w:t>
        </w:r>
      </w:hyperlink>
    </w:p>
    <w:p>
      <w:pPr>
        <w:keepLines/>
        <w:spacing w:before="30" w:after="50" w:line="240" w:lineRule="auto"/>
        <w:ind w:left="0" w:firstLine="0"/>
      </w:pPr>
      <w:hyperlink w:anchor="sec_089" w:history="1">
        <w:r>
          <w:rPr>
            <w:rFonts w:ascii="Aptos" w:hAnsi="Aptos"/>
            <w:color w:val="16324F"/>
            <w:u w:val="none"/>
            <w:sz w:val="18"/>
            <w:b/>
          </w:rPr>
          <w:t>26. Métricas, analítica y observabilidad de producto</w:t>
        </w:r>
      </w:hyperlink>
    </w:p>
    <w:p>
      <w:pPr>
        <w:keepLines/>
        <w:spacing w:before="0" w:after="10" w:line="240" w:lineRule="auto"/>
        <w:ind w:left="432" w:firstLine="0"/>
      </w:pPr>
      <w:hyperlink w:anchor="sec_090" w:history="1">
        <w:r>
          <w:rPr>
            <w:rFonts w:ascii="Aptos" w:hAnsi="Aptos"/>
            <w:color w:val="176B87"/>
            <w:u w:val="none"/>
            <w:sz w:val="17"/>
          </w:rPr>
          <w:t>26.1 Privacidad analítica</w:t>
        </w:r>
      </w:hyperlink>
    </w:p>
    <w:p>
      <w:pPr>
        <w:keepLines/>
        <w:spacing w:before="30" w:after="50" w:line="240" w:lineRule="auto"/>
        <w:ind w:left="0" w:firstLine="0"/>
      </w:pPr>
      <w:hyperlink w:anchor="sec_091" w:history="1">
        <w:r>
          <w:rPr>
            <w:rFonts w:ascii="Aptos" w:hAnsi="Aptos"/>
            <w:color w:val="16324F"/>
            <w:u w:val="none"/>
            <w:sz w:val="18"/>
            <w:b/>
          </w:rPr>
          <w:t>27. Riesgos del proyecto y mitigaciones</w:t>
        </w:r>
      </w:hyperlink>
    </w:p>
    <w:p>
      <w:pPr>
        <w:keepLines/>
        <w:spacing w:before="30" w:after="50" w:line="240" w:lineRule="auto"/>
        <w:ind w:left="0" w:firstLine="0"/>
      </w:pPr>
      <w:hyperlink w:anchor="sec_092" w:history="1">
        <w:r>
          <w:rPr>
            <w:rFonts w:ascii="Aptos" w:hAnsi="Aptos"/>
            <w:color w:val="16324F"/>
            <w:u w:val="none"/>
            <w:sz w:val="18"/>
            <w:b/>
          </w:rPr>
          <w:t>28. Decisiones pendientes y plan inmediato</w:t>
        </w:r>
      </w:hyperlink>
    </w:p>
    <w:p>
      <w:pPr>
        <w:keepLines/>
        <w:spacing w:before="0" w:after="10" w:line="240" w:lineRule="auto"/>
        <w:ind w:left="432" w:firstLine="0"/>
      </w:pPr>
      <w:hyperlink w:anchor="sec_093" w:history="1">
        <w:r>
          <w:rPr>
            <w:rFonts w:ascii="Aptos" w:hAnsi="Aptos"/>
            <w:color w:val="176B87"/>
            <w:u w:val="none"/>
            <w:sz w:val="17"/>
          </w:rPr>
          <w:t>28.1 Decisiones de fundador</w:t>
        </w:r>
      </w:hyperlink>
    </w:p>
    <w:p>
      <w:pPr>
        <w:keepLines/>
        <w:spacing w:before="0" w:after="10" w:line="240" w:lineRule="auto"/>
        <w:ind w:left="432" w:firstLine="0"/>
      </w:pPr>
      <w:hyperlink w:anchor="sec_094" w:history="1">
        <w:r>
          <w:rPr>
            <w:rFonts w:ascii="Aptos" w:hAnsi="Aptos"/>
            <w:color w:val="176B87"/>
            <w:u w:val="none"/>
            <w:sz w:val="17"/>
          </w:rPr>
          <w:t>28.2 Próximos 30 días</w:t>
        </w:r>
      </w:hyperlink>
    </w:p>
    <w:p>
      <w:pPr>
        <w:keepLines/>
        <w:spacing w:before="30" w:after="50" w:line="240" w:lineRule="auto"/>
        <w:ind w:left="0" w:firstLine="0"/>
      </w:pPr>
      <w:hyperlink w:anchor="sec_095" w:history="1">
        <w:r>
          <w:rPr>
            <w:rFonts w:ascii="Aptos" w:hAnsi="Aptos"/>
            <w:color w:val="16324F"/>
            <w:u w:val="none"/>
            <w:sz w:val="18"/>
            <w:b/>
          </w:rPr>
          <w:t>Anexo A. Matriz funcional completa</w:t>
        </w:r>
      </w:hyperlink>
    </w:p>
    <w:p>
      <w:pPr>
        <w:keepLines/>
        <w:spacing w:before="30" w:after="50" w:line="240" w:lineRule="auto"/>
        <w:ind w:left="0" w:firstLine="0"/>
      </w:pPr>
      <w:hyperlink w:anchor="sec_096" w:history="1">
        <w:r>
          <w:rPr>
            <w:rFonts w:ascii="Aptos" w:hAnsi="Aptos"/>
            <w:color w:val="16324F"/>
            <w:u w:val="none"/>
            <w:sz w:val="18"/>
            <w:b/>
          </w:rPr>
          <w:t>Anexo B. Historias de usuario prioritarias</w:t>
        </w:r>
      </w:hyperlink>
    </w:p>
    <w:p>
      <w:pPr>
        <w:keepLines/>
        <w:spacing w:before="30" w:after="50" w:line="240" w:lineRule="auto"/>
        <w:ind w:left="0" w:firstLine="0"/>
      </w:pPr>
      <w:hyperlink w:anchor="sec_097" w:history="1">
        <w:r>
          <w:rPr>
            <w:rFonts w:ascii="Aptos" w:hAnsi="Aptos"/>
            <w:color w:val="16324F"/>
            <w:u w:val="none"/>
            <w:sz w:val="18"/>
            <w:b/>
          </w:rPr>
          <w:t>Anexo C. Criterios de aceptación críticos</w:t>
        </w:r>
      </w:hyperlink>
    </w:p>
    <w:p>
      <w:pPr>
        <w:keepLines/>
        <w:spacing w:before="30" w:after="50" w:line="240" w:lineRule="auto"/>
        <w:ind w:left="0" w:firstLine="0"/>
      </w:pPr>
      <w:hyperlink w:anchor="sec_098" w:history="1">
        <w:r>
          <w:rPr>
            <w:rFonts w:ascii="Aptos" w:hAnsi="Aptos"/>
            <w:color w:val="16324F"/>
            <w:u w:val="none"/>
            <w:sz w:val="18"/>
            <w:b/>
          </w:rPr>
          <w:t>Anexo D. Inventario inicial de pantallas</w:t>
        </w:r>
      </w:hyperlink>
    </w:p>
    <w:p>
      <w:pPr>
        <w:keepLines/>
        <w:spacing w:before="30" w:after="50" w:line="240" w:lineRule="auto"/>
        <w:ind w:left="0" w:firstLine="0"/>
      </w:pPr>
      <w:hyperlink w:anchor="sec_099" w:history="1">
        <w:r>
          <w:rPr>
            <w:rFonts w:ascii="Aptos" w:hAnsi="Aptos"/>
            <w:color w:val="16324F"/>
            <w:u w:val="none"/>
            <w:sz w:val="18"/>
            <w:b/>
          </w:rPr>
          <w:t>Anexo E. Glosario</w:t>
        </w:r>
      </w:hyperlink>
    </w:p>
    <w:p>
      <w:pPr>
        <w:keepLines/>
        <w:spacing w:before="30" w:after="50" w:line="240" w:lineRule="auto"/>
        <w:ind w:left="0" w:firstLine="0"/>
      </w:pPr>
      <w:hyperlink w:anchor="sec_100" w:history="1">
        <w:r>
          <w:rPr>
            <w:rFonts w:ascii="Aptos" w:hAnsi="Aptos"/>
            <w:color w:val="16324F"/>
            <w:u w:val="none"/>
            <w:sz w:val="18"/>
            <w:b/>
          </w:rPr>
          <w:t>Anexo F. Fuentes oficiales consultadas</w:t>
        </w:r>
      </w:hyperlink>
    </w:p>
    <w:p>
      <w:pPr>
        <w:keepLines/>
        <w:spacing w:before="30" w:after="50" w:line="240" w:lineRule="auto"/>
        <w:ind w:left="0" w:firstLine="0"/>
      </w:pPr>
      <w:hyperlink w:anchor="sec_101" w:history="1">
        <w:r>
          <w:rPr>
            <w:rFonts w:ascii="Aptos" w:hAnsi="Aptos"/>
            <w:color w:val="16324F"/>
            <w:u w:val="none"/>
            <w:sz w:val="18"/>
            <w:b/>
          </w:rPr>
          <w:t>Anexo G. Checklist de preparación para producción</w:t>
        </w:r>
      </w:hyperlink>
    </w:p>
    <w:p>
      <w:pPr>
        <w:keepLines/>
      </w:pPr>
      <w:r>
        <w:br w:type="page"/>
      </w:r>
    </w:p>
    <w:p>
      <w:bookmarkStart w:id="13" w:name="sec_003"/>
      <w:pPr>
        <w:pStyle w:val="Heading1"/>
        <w:keepLines/>
      </w:pPr>
      <w:r>
        <w:t>1. Resumen ejecutivo</w:t>
      </w:r>
      <w:bookmarkEnd w:id="13"/>
    </w:p>
    <w:p>
      <w:pPr>
        <w:keepLines/>
        <w:spacing w:before="0" w:after="80" w:line="269" w:lineRule="auto"/>
      </w:pPr>
      <w:r>
        <w:rPr>
          <w:rFonts w:ascii="Aptos" w:hAnsi="Aptos" w:eastAsia="Aptos"/>
          <w:b w:val="0"/>
          <w:i w:val="0"/>
          <w:color w:val="24323E"/>
          <w:sz w:val="21"/>
        </w:rPr>
        <w:t>Comunidad Conecta es una plataforma digital integral para comunidades de propietarios que separa dos conceptos que hoy suelen estar mezclados: la información permanente de la comunidad y el servicio temporal del administrador de fincas. La comunidad mantiene una cuenta propia y duradera; el presidente, la Junta y los propietarios conservan el control institucional, mientras el administrador recibe permisos para ejecutar su encargo.</w:t>
      </w:r>
    </w:p>
    <w:p>
      <w:pPr>
        <w:keepLines/>
        <w:spacing w:before="0" w:after="80" w:line="269" w:lineRule="auto"/>
      </w:pPr>
      <w:r>
        <w:rPr>
          <w:rFonts w:ascii="Aptos" w:hAnsi="Aptos" w:eastAsia="Aptos"/>
          <w:b w:val="0"/>
          <w:i w:val="0"/>
          <w:color w:val="24323E"/>
          <w:sz w:val="21"/>
        </w:rPr>
        <w:t>El producto cubre la estructura inmobiliaria, propietarios y ocupantes, cuotas y derramas, contabilidad, cobros, facturas, presupuestos, juntas, convocatorias, representaciones, acuerdos, actas, incidencias, mantenimiento, proveedores, obras, seguros, documentos, comunicaciones, reservas, consumos, empleados y cumplimiento. Su diseño debe funcionar igual de bien para una finca de doce viviendas que para una urbanización con manzanas, varios bloques, garajes, piscinas y subcomunidades.</w:t>
      </w:r>
    </w:p>
    <w:tbl>
      <w:tblPr>
        <w:tblW w:type="dxa" w:w="9360"/>
        <w:jc w:val="left"/>
        <w:tblLayout w:type="fixed"/>
        <w:tblLook w:firstColumn="1" w:firstRow="1" w:lastColumn="0" w:lastRow="0" w:noHBand="0" w:noVBand="1" w:val="04A0"/>
        <w:tblInd w:w="180" w:type="dxa"/>
        <w:tblBorders>
          <w:top w:val="single" w:sz="8" w:space="0" w:color="1D8A79"/>
          <w:left w:val="single" w:sz="8" w:space="0" w:color="1D8A79"/>
          <w:bottom w:val="single" w:sz="8" w:space="0" w:color="1D8A79"/>
          <w:right w:val="single" w:sz="8" w:space="0" w:color="1D8A79"/>
        </w:tblBorders>
      </w:tblPr>
      <w:tblGrid>
        <w:gridCol w:w="9360"/>
      </w:tblGrid>
      <w:tr>
        <w:trPr>
          <w:cantSplit/>
          <w:trHeight w:hRule="atLeast"/>
        </w:trPr>
        <w:tc>
          <w:tcPr>
            <w:tcW w:type="dxa" w:w="9360"/>
            <w:tcMar>
              <w:top w:w="140" w:type="dxa"/>
              <w:start w:w="180" w:type="dxa"/>
              <w:bottom w:w="140" w:type="dxa"/>
              <w:end w:w="180" w:type="dxa"/>
            </w:tcMar>
            <w:vAlign w:val="center"/>
            <w:shd w:fill="EAF6F3" w:val="clear"/>
          </w:tcPr>
          <w:p>
            <w:pPr>
              <w:spacing w:after="0" w:line="271" w:lineRule="auto"/>
            </w:pPr>
            <w:r>
              <w:rPr>
                <w:rFonts w:ascii="Aptos" w:hAnsi="Aptos" w:eastAsia="Aptos"/>
                <w:b/>
                <w:color w:val="1D8A79"/>
                <w:sz w:val="18"/>
              </w:rPr>
              <w:t xml:space="preserve">PROMESA DE PRODUCTO  </w:t>
            </w:r>
            <w:r>
              <w:rPr>
                <w:rFonts w:ascii="Aptos" w:hAnsi="Aptos" w:eastAsia="Aptos"/>
                <w:color w:val="24323E"/>
                <w:sz w:val="20"/>
              </w:rPr>
              <w:t>Cambiar de administrador debe parecerse a cambiar de usuario autorizado, no a cambiar de sistema operativo. El historial continúa, los vecinos conservan la misma app y el nuevo profesional recibe un expediente ordenado, verificable y completo.</w:t>
            </w:r>
          </w:p>
        </w:tc>
      </w:tr>
    </w:tbl>
    <w:p>
      <w:pPr>
        <w:keepLines/>
        <w:spacing w:after="0"/>
      </w:pPr>
    </w:p>
    <w:p>
      <w:bookmarkStart w:id="14" w:name="sec_004"/>
      <w:pPr>
        <w:pStyle w:val="Heading2"/>
        <w:keepLines/>
      </w:pPr>
      <w:r>
        <w:t>1.1 Resultado esperado</w:t>
      </w:r>
      <w:bookmarkEnd w:id="14"/>
    </w:p>
    <w:p>
      <w:pPr>
        <w:spacing w:after="60" w:line="271" w:lineRule="auto"/>
        <w:keepLines/>
        <w:numPr>
          <w:ilvl w:val="0"/>
          <w:numId w:val="10"/>
        </w:numPr>
      </w:pPr>
      <w:r>
        <w:rPr>
          <w:rFonts w:ascii="Aptos" w:hAnsi="Aptos" w:eastAsia="Aptos"/>
          <w:color w:val="24323E"/>
          <w:sz w:val="20"/>
        </w:rPr>
        <w:t>Transparencia comprensible: cada persona ve lo que le corresponde, con contexto, trazabilidad y protección frente a accesos indebidos.</w:t>
      </w:r>
    </w:p>
    <w:p>
      <w:pPr>
        <w:spacing w:after="60" w:line="271" w:lineRule="auto"/>
        <w:keepLines/>
        <w:numPr>
          <w:ilvl w:val="0"/>
          <w:numId w:val="10"/>
        </w:numPr>
      </w:pPr>
      <w:r>
        <w:rPr>
          <w:rFonts w:ascii="Aptos" w:hAnsi="Aptos" w:eastAsia="Aptos"/>
          <w:color w:val="24323E"/>
          <w:sz w:val="20"/>
        </w:rPr>
        <w:t>Continuidad real: ningún cambio de proveedor rompe la relación con los vecinos ni fragmenta el archivo histórico.</w:t>
      </w:r>
    </w:p>
    <w:p>
      <w:pPr>
        <w:spacing w:after="60" w:line="271" w:lineRule="auto"/>
        <w:keepLines/>
        <w:numPr>
          <w:ilvl w:val="0"/>
          <w:numId w:val="10"/>
        </w:numPr>
      </w:pPr>
      <w:r>
        <w:rPr>
          <w:rFonts w:ascii="Aptos" w:hAnsi="Aptos" w:eastAsia="Aptos"/>
          <w:color w:val="24323E"/>
          <w:sz w:val="20"/>
        </w:rPr>
        <w:t>Gobierno más sólido: permisos, acuerdos, mayorías, firmas y evidencias quedan conectados a la estructura legal de la comunidad.</w:t>
      </w:r>
    </w:p>
    <w:p>
      <w:pPr>
        <w:spacing w:after="60" w:line="271" w:lineRule="auto"/>
        <w:keepLines/>
        <w:numPr>
          <w:ilvl w:val="0"/>
          <w:numId w:val="10"/>
        </w:numPr>
      </w:pPr>
      <w:r>
        <w:rPr>
          <w:rFonts w:ascii="Aptos" w:hAnsi="Aptos" w:eastAsia="Aptos"/>
          <w:color w:val="24323E"/>
          <w:sz w:val="20"/>
        </w:rPr>
        <w:t>Menos trabajo manual: conciliación, generación de recibos, avisos, actas, seguimiento de incidencias y preparación de documentación se automatizan de forma supervisada.</w:t>
      </w:r>
    </w:p>
    <w:p>
      <w:pPr>
        <w:spacing w:after="60" w:line="271" w:lineRule="auto"/>
        <w:keepLines/>
        <w:numPr>
          <w:ilvl w:val="0"/>
          <w:numId w:val="10"/>
        </w:numPr>
      </w:pPr>
      <w:r>
        <w:rPr>
          <w:rFonts w:ascii="Aptos" w:hAnsi="Aptos" w:eastAsia="Aptos"/>
          <w:color w:val="24323E"/>
          <w:sz w:val="20"/>
        </w:rPr>
        <w:t>Privacidad desde el diseño: minimización, compartimentación, retención, auditoría, autenticación reforzada y control de proveedores se incorporan al núcleo.</w:t>
      </w:r>
    </w:p>
    <w:p>
      <w:bookmarkStart w:id="15" w:name="sec_005"/>
      <w:pPr>
        <w:pStyle w:val="Heading1"/>
        <w:keepLines/>
      </w:pPr>
      <w:r>
        <w:t>2. Problema y oportunidad</w:t>
      </w:r>
      <w:bookmarkEnd w:id="15"/>
    </w:p>
    <w:p>
      <w:bookmarkStart w:id="16" w:name="sec_006"/>
      <w:pPr>
        <w:pStyle w:val="Heading2"/>
        <w:keepLines/>
      </w:pPr>
      <w:r>
        <w:t>2.1 Problemas actuales</w:t>
      </w:r>
      <w:bookmarkEnd w:id="16"/>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2350"/>
        <w:gridCol w:w="7010"/>
      </w:tblGrid>
      <w:tr>
        <w:trPr>
          <w:cantSplit/>
          <w:trHeight w:hRule="atLeast"/>
          <w:tblHeader w:val="true"/>
          <w:cantSplit/>
        </w:trPr>
        <w:tc>
          <w:tcPr>
            <w:tcW w:type="dxa" w:w="235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Problema</w:t>
            </w:r>
          </w:p>
        </w:tc>
        <w:tc>
          <w:tcPr>
            <w:tcW w:type="dxa" w:w="701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Consecuencia</w:t>
            </w:r>
          </w:p>
        </w:tc>
      </w:tr>
      <w:tr>
        <w:trPr>
          <w:cantSplit/>
          <w:trHeight w:hRule="atLeast"/>
        </w:trPr>
        <w:tc>
          <w:tcPr>
            <w:tcW w:type="dxa" w:w="23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Dependencia del administrador</w:t>
            </w:r>
          </w:p>
        </w:tc>
        <w:tc>
          <w:tcPr>
            <w:tcW w:type="dxa" w:w="701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La app, el archivo y las credenciales suelen estar vinculados al despacho. Cuando cambia el profesional, el vecino instala otra aplicación y la comunidad pierde continuidad.</w:t>
            </w:r>
          </w:p>
        </w:tc>
      </w:tr>
      <w:tr>
        <w:trPr>
          <w:cantSplit/>
          <w:trHeight w:hRule="atLeast"/>
        </w:trPr>
        <w:tc>
          <w:tcPr>
            <w:tcW w:type="dxa" w:w="23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Datos fragmentados</w:t>
            </w:r>
          </w:p>
        </w:tc>
        <w:tc>
          <w:tcPr>
            <w:tcW w:type="dxa" w:w="701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Actas, facturas, hojas de cálculo, correos, mensajería y bancos no comparten una fuente de verdad ni un modelo común.</w:t>
            </w:r>
          </w:p>
        </w:tc>
      </w:tr>
      <w:tr>
        <w:trPr>
          <w:cantSplit/>
          <w:trHeight w:hRule="atLeast"/>
        </w:trPr>
        <w:tc>
          <w:tcPr>
            <w:tcW w:type="dxa" w:w="23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Transparencia sin privacidad</w:t>
            </w:r>
          </w:p>
        </w:tc>
        <w:tc>
          <w:tcPr>
            <w:tcW w:type="dxa" w:w="701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Dar acceso a todo expone datos innecesarios; ocultarlo todo genera desconfianza. Falta visibilidad contextual y por finalidad.</w:t>
            </w:r>
          </w:p>
        </w:tc>
      </w:tr>
      <w:tr>
        <w:trPr>
          <w:cantSplit/>
          <w:trHeight w:hRule="atLeast"/>
        </w:trPr>
        <w:tc>
          <w:tcPr>
            <w:tcW w:type="dxa" w:w="23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Procesos poco probatorios</w:t>
            </w:r>
          </w:p>
        </w:tc>
        <w:tc>
          <w:tcPr>
            <w:tcW w:type="dxa" w:w="701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Convocatorias, delegaciones, notificaciones y aprobaciones carecen a menudo de evidencia digital ordenada y fácil de exportar.</w:t>
            </w:r>
          </w:p>
        </w:tc>
      </w:tr>
      <w:tr>
        <w:trPr>
          <w:cantSplit/>
          <w:trHeight w:hRule="atLeast"/>
        </w:trPr>
        <w:tc>
          <w:tcPr>
            <w:tcW w:type="dxa" w:w="23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Baja adopción</w:t>
            </w:r>
          </w:p>
        </w:tc>
        <w:tc>
          <w:tcPr>
            <w:tcW w:type="dxa" w:w="701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Muchas herramientas están diseñadas para el despacho, no para vecinos mayores, usuarios ocasionales o personas con baja alfabetización digital.</w:t>
            </w:r>
          </w:p>
        </w:tc>
      </w:tr>
      <w:tr>
        <w:trPr>
          <w:cantSplit/>
          <w:trHeight w:hRule="atLeast"/>
        </w:trPr>
        <w:tc>
          <w:tcPr>
            <w:tcW w:type="dxa" w:w="23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Cambio costoso</w:t>
            </w:r>
          </w:p>
        </w:tc>
        <w:tc>
          <w:tcPr>
            <w:tcW w:type="dxa" w:w="701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La salida de un administrador exige reclamar documentación, transformar formatos, reconstruir saldos y volver a dar altas.</w:t>
            </w:r>
          </w:p>
        </w:tc>
      </w:tr>
    </w:tbl>
    <w:p>
      <w:pPr>
        <w:keepLines/>
        <w:spacing w:after="0"/>
      </w:pPr>
    </w:p>
    <w:p>
      <w:bookmarkStart w:id="17" w:name="sec_007"/>
      <w:pPr>
        <w:pStyle w:val="Heading2"/>
        <w:keepLines/>
      </w:pPr>
      <w:r>
        <w:t>2.2 Oportunidad</w:t>
      </w:r>
      <w:bookmarkEnd w:id="17"/>
    </w:p>
    <w:p>
      <w:pPr>
        <w:keepLines/>
        <w:spacing w:before="0" w:after="80" w:line="269" w:lineRule="auto"/>
      </w:pPr>
      <w:r>
        <w:rPr>
          <w:rFonts w:ascii="Aptos" w:hAnsi="Aptos" w:eastAsia="Aptos"/>
          <w:b w:val="0"/>
          <w:i w:val="0"/>
          <w:color w:val="24323E"/>
          <w:sz w:val="21"/>
        </w:rPr>
        <w:t>Existe espacio para una infraestructura neutral de comunidad: un registro operativo y documental duradero que permita a distintos profesionales competir por prestar el servicio sin capturar los datos. La neutralidad abre además un mercado B2B2C: comunidades que contratan directamente, administradores que trabajan en un entorno común y proveedores que reciben encargos con permisos limitados.</w:t>
      </w:r>
    </w:p>
    <w:tbl>
      <w:tblPr>
        <w:tblW w:type="dxa" w:w="9360"/>
        <w:jc w:val="left"/>
        <w:tblLayout w:type="fixed"/>
        <w:tblLook w:firstColumn="1" w:firstRow="1" w:lastColumn="0" w:lastRow="0" w:noHBand="0" w:noVBand="1" w:val="04A0"/>
        <w:tblInd w:w="90" w:type="dxa"/>
        <w:tblBorders>
          <w:top w:val="single" w:sz="0" w:space="0" w:color="FFFFFF"/>
          <w:left w:val="single" w:sz="0" w:space="0" w:color="FFFFFF"/>
          <w:bottom w:val="single" w:sz="0" w:space="0" w:color="FFFFFF"/>
          <w:right w:val="single" w:sz="0" w:space="0" w:color="FFFFFF"/>
        </w:tblBorders>
      </w:tblPr>
      <w:tblGrid>
        <w:gridCol w:w="1872"/>
        <w:gridCol w:w="1872"/>
        <w:gridCol w:w="1872"/>
        <w:gridCol w:w="1872"/>
        <w:gridCol w:w="1872"/>
      </w:tblGrid>
      <w:tr>
        <w:trPr>
          <w:cantSplit/>
          <w:trHeight w:hRule="atLeast"/>
        </w:trPr>
        <w:tc>
          <w:tcPr>
            <w:tcW w:type="dxa" w:w="1872"/>
            <w:tcMar>
              <w:top w:w="150" w:type="dxa"/>
              <w:start w:w="90" w:type="dxa"/>
              <w:bottom w:w="150" w:type="dxa"/>
              <w:end w:w="90" w:type="dxa"/>
            </w:tcMar>
            <w:vAlign w:val="center"/>
            <w:shd w:fill="EAF6F3" w:val="clear"/>
          </w:tcPr>
          <w:p>
            <w:pPr>
              <w:spacing w:before="0" w:after="0" w:line="252" w:lineRule="auto"/>
              <w:jc w:val="center"/>
            </w:pPr>
            <w:r>
              <w:rPr>
                <w:rFonts w:ascii="Aptos" w:hAnsi="Aptos" w:eastAsia="Aptos"/>
                <w:b/>
                <w:i w:val="0"/>
                <w:color w:val="16324F"/>
                <w:sz w:val="18"/>
              </w:rPr>
              <w:t>La comunidad crea su espacio</w:t>
            </w:r>
          </w:p>
        </w:tc>
        <w:tc>
          <w:tcPr>
            <w:tcW w:type="dxa" w:w="1872"/>
            <w:tcMar>
              <w:top w:w="150" w:type="dxa"/>
              <w:start w:w="90" w:type="dxa"/>
              <w:bottom w:w="150" w:type="dxa"/>
              <w:end w:w="90" w:type="dxa"/>
            </w:tcMar>
            <w:vAlign w:val="center"/>
            <w:shd w:fill="EAF3F7" w:val="clear"/>
          </w:tcPr>
          <w:p>
            <w:pPr>
              <w:spacing w:before="0" w:after="0" w:line="252" w:lineRule="auto"/>
              <w:jc w:val="center"/>
            </w:pPr>
            <w:r>
              <w:rPr>
                <w:rFonts w:ascii="Aptos" w:hAnsi="Aptos" w:eastAsia="Aptos"/>
                <w:b/>
                <w:i w:val="0"/>
                <w:color w:val="16324F"/>
                <w:sz w:val="18"/>
              </w:rPr>
              <w:t>Invita al administrador</w:t>
            </w:r>
          </w:p>
        </w:tc>
        <w:tc>
          <w:tcPr>
            <w:tcW w:type="dxa" w:w="1872"/>
            <w:tcMar>
              <w:top w:w="150" w:type="dxa"/>
              <w:start w:w="90" w:type="dxa"/>
              <w:bottom w:w="150" w:type="dxa"/>
              <w:end w:w="90" w:type="dxa"/>
            </w:tcMar>
            <w:vAlign w:val="center"/>
            <w:shd w:fill="EAF6F3" w:val="clear"/>
          </w:tcPr>
          <w:p>
            <w:pPr>
              <w:spacing w:before="0" w:after="0" w:line="252" w:lineRule="auto"/>
              <w:jc w:val="center"/>
            </w:pPr>
            <w:r>
              <w:rPr>
                <w:rFonts w:ascii="Aptos" w:hAnsi="Aptos" w:eastAsia="Aptos"/>
                <w:b/>
                <w:i w:val="0"/>
                <w:color w:val="16324F"/>
                <w:sz w:val="18"/>
              </w:rPr>
              <w:t>Gestionan juntos</w:t>
            </w:r>
          </w:p>
        </w:tc>
        <w:tc>
          <w:tcPr>
            <w:tcW w:type="dxa" w:w="1872"/>
            <w:tcMar>
              <w:top w:w="150" w:type="dxa"/>
              <w:start w:w="90" w:type="dxa"/>
              <w:bottom w:w="150" w:type="dxa"/>
              <w:end w:w="90" w:type="dxa"/>
            </w:tcMar>
            <w:vAlign w:val="center"/>
            <w:shd w:fill="EAF3F7" w:val="clear"/>
          </w:tcPr>
          <w:p>
            <w:pPr>
              <w:spacing w:before="0" w:after="0" w:line="252" w:lineRule="auto"/>
              <w:jc w:val="center"/>
            </w:pPr>
            <w:r>
              <w:rPr>
                <w:rFonts w:ascii="Aptos" w:hAnsi="Aptos" w:eastAsia="Aptos"/>
                <w:b/>
                <w:i w:val="0"/>
                <w:color w:val="16324F"/>
                <w:sz w:val="18"/>
              </w:rPr>
              <w:t>La Junta cambia proveedor</w:t>
            </w:r>
          </w:p>
        </w:tc>
        <w:tc>
          <w:tcPr>
            <w:tcW w:type="dxa" w:w="1872"/>
            <w:tcMar>
              <w:top w:w="150" w:type="dxa"/>
              <w:start w:w="90" w:type="dxa"/>
              <w:bottom w:w="150" w:type="dxa"/>
              <w:end w:w="90" w:type="dxa"/>
            </w:tcMar>
            <w:vAlign w:val="center"/>
            <w:shd w:fill="EAF6F3" w:val="clear"/>
          </w:tcPr>
          <w:p>
            <w:pPr>
              <w:spacing w:before="0" w:after="0" w:line="252" w:lineRule="auto"/>
              <w:jc w:val="center"/>
            </w:pPr>
            <w:r>
              <w:rPr>
                <w:rFonts w:ascii="Aptos" w:hAnsi="Aptos" w:eastAsia="Aptos"/>
                <w:b/>
                <w:i w:val="0"/>
                <w:color w:val="16324F"/>
                <w:sz w:val="18"/>
              </w:rPr>
              <w:t>El historial continúa</w:t>
            </w:r>
          </w:p>
        </w:tc>
      </w:tr>
    </w:tbl>
    <w:p>
      <w:pPr>
        <w:keepLines/>
        <w:spacing w:before="60" w:after="120" w:line="269" w:lineRule="auto"/>
        <w:jc w:val="center"/>
      </w:pPr>
      <w:r>
        <w:rPr>
          <w:rFonts w:ascii="Aptos" w:hAnsi="Aptos" w:eastAsia="Aptos"/>
          <w:b w:val="0"/>
          <w:i/>
          <w:color w:val="647481"/>
          <w:sz w:val="17"/>
        </w:rPr>
        <w:t>Ciclo de continuidad institucional</w:t>
      </w:r>
    </w:p>
    <w:p>
      <w:bookmarkStart w:id="18" w:name="sec_008"/>
      <w:pPr>
        <w:pStyle w:val="Heading1"/>
        <w:keepLines/>
      </w:pPr>
      <w:r>
        <w:t>3. Visión, misión y posicionamiento</w:t>
      </w:r>
      <w:bookmarkEnd w:id="18"/>
    </w:p>
    <w:p>
      <w:bookmarkStart w:id="19" w:name="sec_009"/>
      <w:pPr>
        <w:pStyle w:val="Heading2"/>
        <w:keepLines/>
      </w:pPr>
      <w:r>
        <w:t>3.1 Visión</w:t>
      </w:r>
      <w:bookmarkEnd w:id="19"/>
    </w:p>
    <w:p>
      <w:pPr>
        <w:keepLines/>
        <w:spacing w:before="0" w:after="80" w:line="269" w:lineRule="auto"/>
      </w:pPr>
      <w:r>
        <w:rPr>
          <w:rFonts w:ascii="Aptos" w:hAnsi="Aptos" w:eastAsia="Aptos"/>
          <w:b w:val="0"/>
          <w:i w:val="0"/>
          <w:color w:val="24323E"/>
          <w:sz w:val="21"/>
        </w:rPr>
        <w:t>Que toda comunidad pueda conservar durante décadas una memoria digital propia, segura, interoperable y comprensible, con independencia del profesional que administre cada etapa.</w:t>
      </w:r>
    </w:p>
    <w:p>
      <w:bookmarkStart w:id="20" w:name="sec_010"/>
      <w:pPr>
        <w:pStyle w:val="Heading2"/>
        <w:keepLines/>
      </w:pPr>
      <w:r>
        <w:t>3.2 Misión</w:t>
      </w:r>
      <w:bookmarkEnd w:id="20"/>
    </w:p>
    <w:p>
      <w:pPr>
        <w:keepLines/>
        <w:spacing w:before="0" w:after="80" w:line="269" w:lineRule="auto"/>
      </w:pPr>
      <w:r>
        <w:rPr>
          <w:rFonts w:ascii="Aptos" w:hAnsi="Aptos" w:eastAsia="Aptos"/>
          <w:b w:val="0"/>
          <w:i w:val="0"/>
          <w:color w:val="24323E"/>
          <w:sz w:val="21"/>
        </w:rPr>
        <w:t>Simplificar la convivencia, la economía y el gobierno de las comunidades mediante una plataforma neutral que combine transparencia, privacidad, accesibilidad y rigor probatorio.</w:t>
      </w:r>
    </w:p>
    <w:p>
      <w:bookmarkStart w:id="21" w:name="sec_011"/>
      <w:pPr>
        <w:pStyle w:val="Heading2"/>
        <w:keepLines/>
      </w:pPr>
      <w:r>
        <w:t>3.3 Posicionamiento</w:t>
      </w:r>
      <w:bookmarkEnd w:id="21"/>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900"/>
        <w:gridCol w:w="3650"/>
        <w:gridCol w:w="3810"/>
      </w:tblGrid>
      <w:tr>
        <w:trPr>
          <w:cantSplit/>
          <w:trHeight w:hRule="atLeast"/>
          <w:tblHeader w:val="true"/>
          <w:cantSplit/>
        </w:trPr>
        <w:tc>
          <w:tcPr>
            <w:tcW w:type="dxa" w:w="19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Dimensión</w:t>
            </w:r>
          </w:p>
        </w:tc>
        <w:tc>
          <w:tcPr>
            <w:tcW w:type="dxa" w:w="365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Comunidad Conecta</w:t>
            </w:r>
          </w:p>
        </w:tc>
        <w:tc>
          <w:tcPr>
            <w:tcW w:type="dxa" w:w="381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Software tradicional del despacho</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Titular funcional</w:t>
            </w:r>
          </w:p>
        </w:tc>
        <w:tc>
          <w:tcPr>
            <w:tcW w:type="dxa" w:w="36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La comunidad</w:t>
            </w:r>
          </w:p>
        </w:tc>
        <w:tc>
          <w:tcPr>
            <w:tcW w:type="dxa" w:w="381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Habitualmente el despacho</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Cambio de administrador</w:t>
            </w:r>
          </w:p>
        </w:tc>
        <w:tc>
          <w:tcPr>
            <w:tcW w:type="dxa" w:w="36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Revocación e invitación; sin migración de vecinos</w:t>
            </w:r>
          </w:p>
        </w:tc>
        <w:tc>
          <w:tcPr>
            <w:tcW w:type="dxa" w:w="381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Nueva app, nuevas altas y exportación parcial</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Fuente de verdad</w:t>
            </w:r>
          </w:p>
        </w:tc>
        <w:tc>
          <w:tcPr>
            <w:tcW w:type="dxa" w:w="36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Historial único por comunidad</w:t>
            </w:r>
          </w:p>
        </w:tc>
        <w:tc>
          <w:tcPr>
            <w:tcW w:type="dxa" w:w="381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Base de datos central del proveedor</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Permisos</w:t>
            </w:r>
          </w:p>
        </w:tc>
        <w:tc>
          <w:tcPr>
            <w:tcW w:type="dxa" w:w="36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Contextuales por comunidad, estructura y finalidad</w:t>
            </w:r>
          </w:p>
        </w:tc>
        <w:tc>
          <w:tcPr>
            <w:tcW w:type="dxa" w:w="381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Perfiles generales del despacho</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Modelo comercial</w:t>
            </w:r>
          </w:p>
        </w:tc>
        <w:tc>
          <w:tcPr>
            <w:tcW w:type="dxa" w:w="36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Suscripción portable; profesional invitado</w:t>
            </w:r>
          </w:p>
        </w:tc>
        <w:tc>
          <w:tcPr>
            <w:tcW w:type="dxa" w:w="381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Servicio empaquetado con administración</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Interoperabilidad</w:t>
            </w:r>
          </w:p>
        </w:tc>
        <w:tc>
          <w:tcPr>
            <w:tcW w:type="dxa" w:w="36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API, exportación y dossier de transición</w:t>
            </w:r>
          </w:p>
        </w:tc>
        <w:tc>
          <w:tcPr>
            <w:tcW w:type="dxa" w:w="381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Variable o dependiente del proveedor</w:t>
            </w:r>
          </w:p>
        </w:tc>
      </w:tr>
    </w:tbl>
    <w:p>
      <w:pPr>
        <w:keepLines/>
        <w:spacing w:after="0"/>
      </w:pPr>
    </w:p>
    <w:p>
      <w:bookmarkStart w:id="22" w:name="sec_012"/>
      <w:pPr>
        <w:pStyle w:val="Heading2"/>
        <w:keepLines/>
      </w:pPr>
      <w:r>
        <w:t>3.4 Eslogan funcional</w:t>
      </w:r>
      <w:bookmarkEnd w:id="22"/>
    </w:p>
    <w:tbl>
      <w:tblPr>
        <w:tblW w:type="dxa" w:w="9360"/>
        <w:jc w:val="left"/>
        <w:tblLayout w:type="fixed"/>
        <w:tblLook w:firstColumn="1" w:firstRow="1" w:lastColumn="0" w:lastRow="0" w:noHBand="0" w:noVBand="1" w:val="04A0"/>
        <w:tblInd w:w="180" w:type="dxa"/>
        <w:tblBorders>
          <w:top w:val="single" w:sz="8" w:space="0" w:color="176B87"/>
          <w:left w:val="single" w:sz="8" w:space="0" w:color="176B87"/>
          <w:bottom w:val="single" w:sz="8" w:space="0" w:color="176B87"/>
          <w:right w:val="single" w:sz="8" w:space="0" w:color="176B87"/>
        </w:tblBorders>
      </w:tblPr>
      <w:tblGrid>
        <w:gridCol w:w="9360"/>
      </w:tblGrid>
      <w:tr>
        <w:trPr>
          <w:cantSplit/>
          <w:trHeight w:hRule="atLeast"/>
        </w:trPr>
        <w:tc>
          <w:tcPr>
            <w:tcW w:type="dxa" w:w="9360"/>
            <w:tcMar>
              <w:top w:w="140" w:type="dxa"/>
              <w:start w:w="180" w:type="dxa"/>
              <w:bottom w:w="140" w:type="dxa"/>
              <w:end w:w="180" w:type="dxa"/>
            </w:tcMar>
            <w:vAlign w:val="center"/>
            <w:shd w:fill="EAF3F7" w:val="clear"/>
          </w:tcPr>
          <w:p>
            <w:pPr>
              <w:spacing w:after="0" w:line="271" w:lineRule="auto"/>
            </w:pPr>
            <w:r>
              <w:rPr>
                <w:rFonts w:ascii="Aptos" w:hAnsi="Aptos" w:eastAsia="Aptos"/>
                <w:b/>
                <w:color w:val="176B87"/>
                <w:sz w:val="18"/>
              </w:rPr>
              <w:t xml:space="preserve">COMUNIDAD CONECTA  </w:t>
            </w:r>
            <w:r>
              <w:rPr>
                <w:rFonts w:ascii="Aptos" w:hAnsi="Aptos" w:eastAsia="Aptos"/>
                <w:color w:val="24323E"/>
                <w:sz w:val="20"/>
              </w:rPr>
              <w:t>Tu comunidad, tus datos, tu historia. El administrador cambia; la comunidad continúa.</w:t>
            </w:r>
          </w:p>
        </w:tc>
      </w:tr>
    </w:tbl>
    <w:p>
      <w:pPr>
        <w:keepLines/>
        <w:spacing w:after="0"/>
      </w:pPr>
    </w:p>
    <w:p>
      <w:bookmarkStart w:id="23" w:name="sec_013"/>
      <w:pPr>
        <w:pStyle w:val="Heading1"/>
        <w:keepLines/>
      </w:pPr>
      <w:r>
        <w:t>4. Principios irrenunciables del producto</w:t>
      </w:r>
      <w:bookmarkEnd w:id="23"/>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2200"/>
        <w:gridCol w:w="7160"/>
      </w:tblGrid>
      <w:tr>
        <w:trPr>
          <w:cantSplit/>
          <w:trHeight w:hRule="atLeast"/>
          <w:tblHeader w:val="true"/>
          <w:cantSplit/>
        </w:trPr>
        <w:tc>
          <w:tcPr>
            <w:tcW w:type="dxa" w:w="22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Principio</w:t>
            </w:r>
          </w:p>
        </w:tc>
        <w:tc>
          <w:tcPr>
            <w:tcW w:type="dxa" w:w="71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Aplicación práctica</w:t>
            </w:r>
          </w:p>
        </w:tc>
      </w:tr>
      <w:tr>
        <w:trPr>
          <w:cantSplit/>
          <w:trHeight w:hRule="atLeast"/>
        </w:trPr>
        <w:tc>
          <w:tcPr>
            <w:tcW w:type="dxa" w:w="22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Soberanía comunitaria</w:t>
            </w:r>
          </w:p>
        </w:tc>
        <w:tc>
          <w:tcPr>
            <w:tcW w:type="dxa" w:w="71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La comunidad controla la cuenta, las exportaciones, las invitaciones y la continuidad. Ningún proveedor puede bloquear la salida.</w:t>
            </w:r>
          </w:p>
        </w:tc>
      </w:tr>
      <w:tr>
        <w:trPr>
          <w:cantSplit/>
          <w:trHeight w:hRule="atLeast"/>
        </w:trPr>
        <w:tc>
          <w:tcPr>
            <w:tcW w:type="dxa" w:w="22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Privacidad contextual</w:t>
            </w:r>
          </w:p>
        </w:tc>
        <w:tc>
          <w:tcPr>
            <w:tcW w:type="dxa" w:w="71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Ver que existe un documento no implica poder abrirlo; ver un total no implica conocer datos personales subyacentes.</w:t>
            </w:r>
          </w:p>
        </w:tc>
      </w:tr>
      <w:tr>
        <w:trPr>
          <w:cantSplit/>
          <w:trHeight w:hRule="atLeast"/>
        </w:trPr>
        <w:tc>
          <w:tcPr>
            <w:tcW w:type="dxa" w:w="22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Transparencia trazable</w:t>
            </w:r>
          </w:p>
        </w:tc>
        <w:tc>
          <w:tcPr>
            <w:tcW w:type="dxa" w:w="71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Todo saldo, acuerdo, pago o cambio relevante puede explicarse por su origen, autor, fecha y evidencia.</w:t>
            </w:r>
          </w:p>
        </w:tc>
      </w:tr>
      <w:tr>
        <w:trPr>
          <w:cantSplit/>
          <w:trHeight w:hRule="atLeast"/>
        </w:trPr>
        <w:tc>
          <w:tcPr>
            <w:tcW w:type="dxa" w:w="22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Menor privilegio</w:t>
            </w:r>
          </w:p>
        </w:tc>
        <w:tc>
          <w:tcPr>
            <w:tcW w:type="dxa" w:w="71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Cada rol recibe solo el acceso necesario, durante el tiempo necesario y dentro de la comunidad correspondiente.</w:t>
            </w:r>
          </w:p>
        </w:tc>
      </w:tr>
      <w:tr>
        <w:trPr>
          <w:cantSplit/>
          <w:trHeight w:hRule="atLeast"/>
        </w:trPr>
        <w:tc>
          <w:tcPr>
            <w:tcW w:type="dxa" w:w="22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Accesibilidad real</w:t>
            </w:r>
          </w:p>
        </w:tc>
        <w:tc>
          <w:tcPr>
            <w:tcW w:type="dxa" w:w="71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Móvil prioritario, lenguaje claro, texto legible, pocos pasos, apoyo telefónico/presencial y alternativa no digital.</w:t>
            </w:r>
          </w:p>
        </w:tc>
      </w:tr>
      <w:tr>
        <w:trPr>
          <w:cantSplit/>
          <w:trHeight w:hRule="atLeast"/>
        </w:trPr>
        <w:tc>
          <w:tcPr>
            <w:tcW w:type="dxa" w:w="22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Interoperabilidad</w:t>
            </w:r>
          </w:p>
        </w:tc>
        <w:tc>
          <w:tcPr>
            <w:tcW w:type="dxa" w:w="71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Datos exportables en formatos abiertos, API versionada e importadores para evitar cautividad tecnológica.</w:t>
            </w:r>
          </w:p>
        </w:tc>
      </w:tr>
      <w:tr>
        <w:trPr>
          <w:cantSplit/>
          <w:trHeight w:hRule="atLeast"/>
        </w:trPr>
        <w:tc>
          <w:tcPr>
            <w:tcW w:type="dxa" w:w="22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Automatización supervisada</w:t>
            </w:r>
          </w:p>
        </w:tc>
        <w:tc>
          <w:tcPr>
            <w:tcW w:type="dxa" w:w="71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La IA y las reglas ayudan, pero no adoptan acuerdos, declaran deudas ni ordenan pagos sin autorización humana.</w:t>
            </w:r>
          </w:p>
        </w:tc>
      </w:tr>
      <w:tr>
        <w:trPr>
          <w:cantSplit/>
          <w:trHeight w:hRule="atLeast"/>
        </w:trPr>
        <w:tc>
          <w:tcPr>
            <w:tcW w:type="dxa" w:w="22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Neutralidad profesional</w:t>
            </w:r>
          </w:p>
        </w:tc>
        <w:tc>
          <w:tcPr>
            <w:tcW w:type="dxa" w:w="71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La plataforma coopera con administradores, asesorías, bancos y proveedores sin convertir a ninguno en propietario de la comunidad digital.</w:t>
            </w:r>
          </w:p>
        </w:tc>
      </w:tr>
    </w:tbl>
    <w:p>
      <w:pPr>
        <w:keepLines/>
        <w:spacing w:after="0"/>
      </w:pPr>
    </w:p>
    <w:p>
      <w:bookmarkStart w:id="24" w:name="sec_014"/>
      <w:pPr>
        <w:pStyle w:val="Heading1"/>
        <w:keepLines/>
      </w:pPr>
      <w:r>
        <w:t>5. Alcance y tipos de comunidad</w:t>
      </w:r>
      <w:bookmarkEnd w:id="24"/>
    </w:p>
    <w:p>
      <w:bookmarkStart w:id="25" w:name="sec_015"/>
      <w:pPr>
        <w:pStyle w:val="Heading2"/>
        <w:keepLines/>
      </w:pPr>
      <w:r>
        <w:t>5.1 Topologías admitidas</w:t>
      </w:r>
      <w:bookmarkEnd w:id="25"/>
    </w:p>
    <w:p>
      <w:pPr>
        <w:keepLines/>
        <w:spacing w:before="0" w:after="80" w:line="269" w:lineRule="auto"/>
      </w:pPr>
      <w:r>
        <w:rPr>
          <w:rFonts w:ascii="Aptos" w:hAnsi="Aptos" w:eastAsia="Aptos"/>
          <w:b w:val="0"/>
          <w:i w:val="0"/>
          <w:color w:val="24323E"/>
          <w:sz w:val="21"/>
        </w:rPr>
        <w:t>El modelo debe representar jerarquías y agrupaciones sin asumir que todas las fincas son un único edificio. La unidad de datos es una entidad comunitaria con posibles subentidades y repartos propios.</w:t>
      </w:r>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650"/>
        <w:gridCol w:w="2950"/>
        <w:gridCol w:w="4760"/>
      </w:tblGrid>
      <w:tr>
        <w:trPr>
          <w:cantSplit/>
          <w:trHeight w:hRule="atLeast"/>
          <w:tblHeader w:val="true"/>
          <w:cantSplit/>
        </w:trPr>
        <w:tc>
          <w:tcPr>
            <w:tcW w:type="dxa" w:w="165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Nivel</w:t>
            </w:r>
          </w:p>
        </w:tc>
        <w:tc>
          <w:tcPr>
            <w:tcW w:type="dxa" w:w="295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Ejemplos</w:t>
            </w:r>
          </w:p>
        </w:tc>
        <w:tc>
          <w:tcPr>
            <w:tcW w:type="dxa" w:w="47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Capacidades</w:t>
            </w:r>
          </w:p>
        </w:tc>
      </w:tr>
      <w:tr>
        <w:trPr>
          <w:cantSplit/>
          <w:trHeight w:hRule="atLeast"/>
        </w:trPr>
        <w:tc>
          <w:tcPr>
            <w:tcW w:type="dxa" w:w="16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Agrupación / macrocomunidad</w:t>
            </w:r>
          </w:p>
        </w:tc>
        <w:tc>
          <w:tcPr>
            <w:tcW w:type="dxa" w:w="29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Urbanización, complejo inmobiliario, entidad de conservación</w:t>
            </w:r>
          </w:p>
        </w:tc>
        <w:tc>
          <w:tcPr>
            <w:tcW w:type="dxa" w:w="47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Órganos, presupuestos, acuerdos y gastos comunes de nivel superior</w:t>
            </w:r>
          </w:p>
        </w:tc>
      </w:tr>
      <w:tr>
        <w:trPr>
          <w:cantSplit/>
          <w:trHeight w:hRule="atLeast"/>
        </w:trPr>
        <w:tc>
          <w:tcPr>
            <w:tcW w:type="dxa" w:w="16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Comunidad</w:t>
            </w:r>
          </w:p>
        </w:tc>
        <w:tc>
          <w:tcPr>
            <w:tcW w:type="dxa" w:w="29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Edificio o conjunto con NIF y órganos propios</w:t>
            </w:r>
          </w:p>
        </w:tc>
        <w:tc>
          <w:tcPr>
            <w:tcW w:type="dxa" w:w="47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Cuenta, libro documental, bancos, Junta y configuración principal</w:t>
            </w:r>
          </w:p>
        </w:tc>
      </w:tr>
      <w:tr>
        <w:trPr>
          <w:cantSplit/>
          <w:trHeight w:hRule="atLeast"/>
        </w:trPr>
        <w:tc>
          <w:tcPr>
            <w:tcW w:type="dxa" w:w="16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Subcomunidad</w:t>
            </w:r>
          </w:p>
        </w:tc>
        <w:tc>
          <w:tcPr>
            <w:tcW w:type="dxa" w:w="29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Garaje, piscina, bloque o zona funcional</w:t>
            </w:r>
          </w:p>
        </w:tc>
        <w:tc>
          <w:tcPr>
            <w:tcW w:type="dxa" w:w="47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Coeficientes, gastos, proveedores, reservas y acuerdos específicos</w:t>
            </w:r>
          </w:p>
        </w:tc>
      </w:tr>
      <w:tr>
        <w:trPr>
          <w:cantSplit/>
          <w:trHeight w:hRule="atLeast"/>
        </w:trPr>
        <w:tc>
          <w:tcPr>
            <w:tcW w:type="dxa" w:w="16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Manzana</w:t>
            </w:r>
          </w:p>
        </w:tc>
        <w:tc>
          <w:tcPr>
            <w:tcW w:type="dxa" w:w="29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Conjunto urbanístico</w:t>
            </w:r>
          </w:p>
        </w:tc>
        <w:tc>
          <w:tcPr>
            <w:tcW w:type="dxa" w:w="47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Agrupación operativa, navegación y reparto cuando proceda</w:t>
            </w:r>
          </w:p>
        </w:tc>
      </w:tr>
      <w:tr>
        <w:trPr>
          <w:cantSplit/>
          <w:trHeight w:hRule="atLeast"/>
        </w:trPr>
        <w:tc>
          <w:tcPr>
            <w:tcW w:type="dxa" w:w="16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Bloque</w:t>
            </w:r>
          </w:p>
        </w:tc>
        <w:tc>
          <w:tcPr>
            <w:tcW w:type="dxa" w:w="29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Edificio A, B o C</w:t>
            </w:r>
          </w:p>
        </w:tc>
        <w:tc>
          <w:tcPr>
            <w:tcW w:type="dxa" w:w="47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Elementos, incidencias, contratos y comunicaciones segmentadas</w:t>
            </w:r>
          </w:p>
        </w:tc>
      </w:tr>
      <w:tr>
        <w:trPr>
          <w:cantSplit/>
          <w:trHeight w:hRule="atLeast"/>
        </w:trPr>
        <w:tc>
          <w:tcPr>
            <w:tcW w:type="dxa" w:w="16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Escalera / portal</w:t>
            </w:r>
          </w:p>
        </w:tc>
        <w:tc>
          <w:tcPr>
            <w:tcW w:type="dxa" w:w="29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Escalera 1, portal norte</w:t>
            </w:r>
          </w:p>
        </w:tc>
        <w:tc>
          <w:tcPr>
            <w:tcW w:type="dxa" w:w="47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Instalaciones, avisos, gastos o acceso segmentado</w:t>
            </w:r>
          </w:p>
        </w:tc>
      </w:tr>
      <w:tr>
        <w:trPr>
          <w:cantSplit/>
          <w:trHeight w:hRule="atLeast"/>
        </w:trPr>
        <w:tc>
          <w:tcPr>
            <w:tcW w:type="dxa" w:w="16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Unidad privativa</w:t>
            </w:r>
          </w:p>
        </w:tc>
        <w:tc>
          <w:tcPr>
            <w:tcW w:type="dxa" w:w="29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Vivienda, local, oficina</w:t>
            </w:r>
          </w:p>
        </w:tc>
        <w:tc>
          <w:tcPr>
            <w:tcW w:type="dxa" w:w="47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Titularidad, coeficiente, saldo, ocupación y anexos</w:t>
            </w:r>
          </w:p>
        </w:tc>
      </w:tr>
      <w:tr>
        <w:trPr>
          <w:cantSplit/>
          <w:trHeight w:hRule="atLeast"/>
        </w:trPr>
        <w:tc>
          <w:tcPr>
            <w:tcW w:type="dxa" w:w="16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Anejo</w:t>
            </w:r>
          </w:p>
        </w:tc>
        <w:tc>
          <w:tcPr>
            <w:tcW w:type="dxa" w:w="29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Garaje, trastero, patio</w:t>
            </w:r>
          </w:p>
        </w:tc>
        <w:tc>
          <w:tcPr>
            <w:tcW w:type="dxa" w:w="47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Vinculado o independiente; coeficientes y permisos propios</w:t>
            </w:r>
          </w:p>
        </w:tc>
      </w:tr>
    </w:tbl>
    <w:p>
      <w:pPr>
        <w:keepLines/>
        <w:spacing w:after="0"/>
      </w:pPr>
    </w:p>
    <w:p>
      <w:bookmarkStart w:id="26" w:name="sec_016"/>
      <w:pPr>
        <w:pStyle w:val="Heading2"/>
        <w:keepLines/>
      </w:pPr>
      <w:r>
        <w:t>5.2 Configuración jurídica por territorio</w:t>
      </w:r>
      <w:bookmarkEnd w:id="26"/>
    </w:p>
    <w:p>
      <w:pPr>
        <w:keepLines/>
        <w:spacing w:before="0" w:after="80" w:line="269" w:lineRule="auto"/>
      </w:pPr>
      <w:r>
        <w:rPr>
          <w:rFonts w:ascii="Aptos" w:hAnsi="Aptos" w:eastAsia="Aptos"/>
          <w:b w:val="0"/>
          <w:i w:val="0"/>
          <w:color w:val="24323E"/>
          <w:sz w:val="21"/>
        </w:rPr>
        <w:t>La primera versión debe parametrizar reglas en vez de codificar una única interpretación rígida. El régimen estatal de la Ley de Propiedad Horizontal será la base inicial, pero el motor de juntas, mayorías y documentación debe permitir adaptaciones autonómicas, estatutarias y del título constitutivo, con especial atención a territorios con derecho civil propio.</w:t>
      </w:r>
    </w:p>
    <w:tbl>
      <w:tblPr>
        <w:tblW w:type="dxa" w:w="9360"/>
        <w:jc w:val="left"/>
        <w:tblLayout w:type="fixed"/>
        <w:tblLook w:firstColumn="1" w:firstRow="1" w:lastColumn="0" w:lastRow="0" w:noHBand="0" w:noVBand="1" w:val="04A0"/>
        <w:tblInd w:w="180" w:type="dxa"/>
        <w:tblBorders>
          <w:top w:val="single" w:sz="8" w:space="0" w:color="D4A72C"/>
          <w:left w:val="single" w:sz="8" w:space="0" w:color="D4A72C"/>
          <w:bottom w:val="single" w:sz="8" w:space="0" w:color="D4A72C"/>
          <w:right w:val="single" w:sz="8" w:space="0" w:color="D4A72C"/>
        </w:tblBorders>
      </w:tblPr>
      <w:tblGrid>
        <w:gridCol w:w="9360"/>
      </w:tblGrid>
      <w:tr>
        <w:trPr>
          <w:cantSplit/>
          <w:trHeight w:hRule="atLeast"/>
        </w:trPr>
        <w:tc>
          <w:tcPr>
            <w:tcW w:type="dxa" w:w="9360"/>
            <w:tcMar>
              <w:top w:w="140" w:type="dxa"/>
              <w:start w:w="180" w:type="dxa"/>
              <w:bottom w:w="140" w:type="dxa"/>
              <w:end w:w="180" w:type="dxa"/>
            </w:tcMar>
            <w:vAlign w:val="center"/>
            <w:shd w:fill="FBF6E8" w:val="clear"/>
          </w:tcPr>
          <w:p>
            <w:pPr>
              <w:spacing w:after="0" w:line="271" w:lineRule="auto"/>
            </w:pPr>
            <w:r>
              <w:rPr>
                <w:rFonts w:ascii="Aptos" w:hAnsi="Aptos" w:eastAsia="Aptos"/>
                <w:b/>
                <w:color w:val="D4A72C"/>
                <w:sz w:val="18"/>
              </w:rPr>
              <w:t xml:space="preserve">REGLA DE SEGURIDAD JURÍDICA  </w:t>
            </w:r>
            <w:r>
              <w:rPr>
                <w:rFonts w:ascii="Aptos" w:hAnsi="Aptos" w:eastAsia="Aptos"/>
                <w:color w:val="24323E"/>
                <w:sz w:val="20"/>
              </w:rPr>
              <w:t>La plataforma calcula y sugiere, pero muestra siempre la regla aplicada, su versión, los datos usados y una advertencia cuando la decisión requiere revisión profesional.</w:t>
            </w:r>
          </w:p>
        </w:tc>
      </w:tr>
    </w:tbl>
    <w:p>
      <w:pPr>
        <w:keepLines/>
        <w:spacing w:after="0"/>
      </w:pPr>
    </w:p>
    <w:p>
      <w:bookmarkStart w:id="27" w:name="sec_017"/>
      <w:pPr>
        <w:pStyle w:val="Heading1"/>
        <w:keepLines/>
      </w:pPr>
      <w:r>
        <w:t>6. Personas usuarias, roles y responsabilidades</w:t>
      </w:r>
      <w:bookmarkEnd w:id="27"/>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700"/>
        <w:gridCol w:w="3900"/>
        <w:gridCol w:w="3760"/>
      </w:tblGrid>
      <w:tr>
        <w:trPr>
          <w:cantSplit/>
          <w:trHeight w:hRule="atLeast"/>
          <w:tblHeader w:val="true"/>
          <w:cantSplit/>
        </w:trPr>
        <w:tc>
          <w:tcPr>
            <w:tcW w:type="dxa" w:w="17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Rol</w:t>
            </w:r>
          </w:p>
        </w:tc>
        <w:tc>
          <w:tcPr>
            <w:tcW w:type="dxa" w:w="39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Puede</w:t>
            </w:r>
          </w:p>
        </w:tc>
        <w:tc>
          <w:tcPr>
            <w:tcW w:type="dxa" w:w="37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No debe ver o hacer por defecto</w:t>
            </w:r>
          </w:p>
        </w:tc>
      </w:tr>
      <w:tr>
        <w:trPr>
          <w:cantSplit/>
          <w:trHeight w:hRule="atLeast"/>
        </w:trPr>
        <w:tc>
          <w:tcPr>
            <w:tcW w:type="dxa" w:w="17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Propietario</w:t>
            </w:r>
          </w:p>
        </w:tc>
        <w:tc>
          <w:tcPr>
            <w:tcW w:type="dxa" w:w="3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Consulta su unidad, cuotas, documentos habilitados, juntas, incidencias y reservas</w:t>
            </w:r>
          </w:p>
        </w:tc>
        <w:tc>
          <w:tcPr>
            <w:tcW w:type="dxa" w:w="37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Datos de otros propietarios no necesarios</w:t>
            </w:r>
          </w:p>
        </w:tc>
      </w:tr>
      <w:tr>
        <w:trPr>
          <w:cantSplit/>
          <w:trHeight w:hRule="atLeast"/>
        </w:trPr>
        <w:tc>
          <w:tcPr>
            <w:tcW w:type="dxa" w:w="17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Copropietario</w:t>
            </w:r>
          </w:p>
        </w:tc>
        <w:tc>
          <w:tcPr>
            <w:tcW w:type="dxa" w:w="3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Acceso vinculado a porcentaje/título y representación configurada</w:t>
            </w:r>
          </w:p>
        </w:tc>
        <w:tc>
          <w:tcPr>
            <w:tcW w:type="dxa" w:w="37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Acciones que requieren representante común</w:t>
            </w:r>
          </w:p>
        </w:tc>
      </w:tr>
      <w:tr>
        <w:trPr>
          <w:cantSplit/>
          <w:trHeight w:hRule="atLeast"/>
        </w:trPr>
        <w:tc>
          <w:tcPr>
            <w:tcW w:type="dxa" w:w="17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Ocupante / inquilino</w:t>
            </w:r>
          </w:p>
        </w:tc>
        <w:tc>
          <w:tcPr>
            <w:tcW w:type="dxa" w:w="3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Avisos de convivencia, incidencias, reservas y documentación autorizada</w:t>
            </w:r>
          </w:p>
        </w:tc>
        <w:tc>
          <w:tcPr>
            <w:tcW w:type="dxa" w:w="37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Saldos, deudas, votos y documentos del propietario</w:t>
            </w:r>
          </w:p>
        </w:tc>
      </w:tr>
      <w:tr>
        <w:trPr>
          <w:cantSplit/>
          <w:trHeight w:hRule="atLeast"/>
        </w:trPr>
        <w:tc>
          <w:tcPr>
            <w:tcW w:type="dxa" w:w="17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Presidente</w:t>
            </w:r>
          </w:p>
        </w:tc>
        <w:tc>
          <w:tcPr>
            <w:tcW w:type="dxa" w:w="3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Representación, supervisión, autorizaciones, convocatorias y transición</w:t>
            </w:r>
          </w:p>
        </w:tc>
        <w:tc>
          <w:tcPr>
            <w:tcW w:type="dxa" w:w="37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No acceso indiscriminado a datos sin finalidad</w:t>
            </w:r>
          </w:p>
        </w:tc>
      </w:tr>
      <w:tr>
        <w:trPr>
          <w:cantSplit/>
          <w:trHeight w:hRule="atLeast"/>
        </w:trPr>
        <w:tc>
          <w:tcPr>
            <w:tcW w:type="dxa" w:w="17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Vicepresidente</w:t>
            </w:r>
          </w:p>
        </w:tc>
        <w:tc>
          <w:tcPr>
            <w:tcW w:type="dxa" w:w="3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Funciones delegadas y sustitución temporal documentada</w:t>
            </w:r>
          </w:p>
        </w:tc>
        <w:tc>
          <w:tcPr>
            <w:tcW w:type="dxa" w:w="37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Solo durante alcance y vigencia de la delegación</w:t>
            </w:r>
          </w:p>
        </w:tc>
      </w:tr>
      <w:tr>
        <w:trPr>
          <w:cantSplit/>
          <w:trHeight w:hRule="atLeast"/>
        </w:trPr>
        <w:tc>
          <w:tcPr>
            <w:tcW w:type="dxa" w:w="17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Secretario</w:t>
            </w:r>
          </w:p>
        </w:tc>
        <w:tc>
          <w:tcPr>
            <w:tcW w:type="dxa" w:w="3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Actas, certificaciones, archivo y firma</w:t>
            </w:r>
          </w:p>
        </w:tc>
        <w:tc>
          <w:tcPr>
            <w:tcW w:type="dxa" w:w="37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Según designación y periodo</w:t>
            </w:r>
          </w:p>
        </w:tc>
      </w:tr>
      <w:tr>
        <w:trPr>
          <w:cantSplit/>
          <w:trHeight w:hRule="atLeast"/>
        </w:trPr>
        <w:tc>
          <w:tcPr>
            <w:tcW w:type="dxa" w:w="17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Administrador</w:t>
            </w:r>
          </w:p>
        </w:tc>
        <w:tc>
          <w:tcPr>
            <w:tcW w:type="dxa" w:w="3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Gestión económica, documental, operativa y de proveedores</w:t>
            </w:r>
          </w:p>
        </w:tc>
        <w:tc>
          <w:tcPr>
            <w:tcW w:type="dxa" w:w="37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Solo comunidades contratadas y conforme a instrucciones</w:t>
            </w:r>
          </w:p>
        </w:tc>
      </w:tr>
      <w:tr>
        <w:trPr>
          <w:cantSplit/>
          <w:trHeight w:hRule="atLeast"/>
        </w:trPr>
        <w:tc>
          <w:tcPr>
            <w:tcW w:type="dxa" w:w="17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Equipo del despacho</w:t>
            </w:r>
          </w:p>
        </w:tc>
        <w:tc>
          <w:tcPr>
            <w:tcW w:type="dxa" w:w="3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Tareas asignadas por cartera y módulo</w:t>
            </w:r>
          </w:p>
        </w:tc>
        <w:tc>
          <w:tcPr>
            <w:tcW w:type="dxa" w:w="37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Segregación entre comunidades y por función</w:t>
            </w:r>
          </w:p>
        </w:tc>
      </w:tr>
      <w:tr>
        <w:trPr>
          <w:cantSplit/>
          <w:trHeight w:hRule="atLeast"/>
        </w:trPr>
        <w:tc>
          <w:tcPr>
            <w:tcW w:type="dxa" w:w="17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Auditor / revisor</w:t>
            </w:r>
          </w:p>
        </w:tc>
        <w:tc>
          <w:tcPr>
            <w:tcW w:type="dxa" w:w="3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Lectura temporal de evidencias, cuentas o expedientes</w:t>
            </w:r>
          </w:p>
        </w:tc>
        <w:tc>
          <w:tcPr>
            <w:tcW w:type="dxa" w:w="37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Sin edición ni descarga masiva salvo autorización</w:t>
            </w:r>
          </w:p>
        </w:tc>
      </w:tr>
      <w:tr>
        <w:trPr>
          <w:cantSplit/>
          <w:trHeight w:hRule="atLeast"/>
        </w:trPr>
        <w:tc>
          <w:tcPr>
            <w:tcW w:type="dxa" w:w="17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Proveedor</w:t>
            </w:r>
          </w:p>
        </w:tc>
        <w:tc>
          <w:tcPr>
            <w:tcW w:type="dxa" w:w="3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Partes de trabajo, presupuestos, facturas y mensajes del encargo</w:t>
            </w:r>
          </w:p>
        </w:tc>
        <w:tc>
          <w:tcPr>
            <w:tcW w:type="dxa" w:w="37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Sin padrón de vecinos ni contabilidad completa</w:t>
            </w:r>
          </w:p>
        </w:tc>
      </w:tr>
      <w:tr>
        <w:trPr>
          <w:cantSplit/>
          <w:trHeight w:hRule="atLeast"/>
        </w:trPr>
        <w:tc>
          <w:tcPr>
            <w:tcW w:type="dxa" w:w="17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Empleado</w:t>
            </w:r>
          </w:p>
        </w:tc>
        <w:tc>
          <w:tcPr>
            <w:tcW w:type="dxa" w:w="3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Turnos, documentos laborales y partes definidos</w:t>
            </w:r>
          </w:p>
        </w:tc>
        <w:tc>
          <w:tcPr>
            <w:tcW w:type="dxa" w:w="37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Área privada separada del resto de la comunidad</w:t>
            </w:r>
          </w:p>
        </w:tc>
      </w:tr>
      <w:tr>
        <w:trPr>
          <w:cantSplit/>
          <w:trHeight w:hRule="atLeast"/>
        </w:trPr>
        <w:tc>
          <w:tcPr>
            <w:tcW w:type="dxa" w:w="17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Soporte de plataforma</w:t>
            </w:r>
          </w:p>
        </w:tc>
        <w:tc>
          <w:tcPr>
            <w:tcW w:type="dxa" w:w="3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Resolución técnica con acceso just-in-time</w:t>
            </w:r>
          </w:p>
        </w:tc>
        <w:tc>
          <w:tcPr>
            <w:tcW w:type="dxa" w:w="37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Sin acceso permanente; sesión auditada y aprobada</w:t>
            </w:r>
          </w:p>
        </w:tc>
      </w:tr>
    </w:tbl>
    <w:p>
      <w:pPr>
        <w:keepLines/>
        <w:spacing w:after="0"/>
      </w:pPr>
    </w:p>
    <w:p>
      <w:bookmarkStart w:id="28" w:name="sec_018"/>
      <w:pPr>
        <w:pStyle w:val="Heading2"/>
        <w:keepLines/>
      </w:pPr>
      <w:r>
        <w:t>6.1 Modelo de autorización</w:t>
      </w:r>
      <w:bookmarkEnd w:id="28"/>
    </w:p>
    <w:p>
      <w:pPr>
        <w:keepLines/>
        <w:spacing w:before="0" w:after="80" w:line="269" w:lineRule="auto"/>
      </w:pPr>
      <w:r>
        <w:rPr>
          <w:rFonts w:ascii="Aptos" w:hAnsi="Aptos" w:eastAsia="Aptos"/>
          <w:b w:val="0"/>
          <w:i w:val="0"/>
          <w:color w:val="24323E"/>
          <w:sz w:val="21"/>
        </w:rPr>
        <w:t>Se combinarán RBAC y ABAC: roles predefinidos más atributos como comunidad, unidad, estructura, finalidad, mandato, estado de la deuda, sensibilidad del dato, horario, dispositivo y vigencia.</w:t>
      </w:r>
    </w:p>
    <w:p>
      <w:pPr>
        <w:spacing w:after="60" w:line="271" w:lineRule="auto"/>
        <w:keepLines/>
        <w:numPr>
          <w:ilvl w:val="0"/>
          <w:numId w:val="10"/>
        </w:numPr>
      </w:pPr>
      <w:r>
        <w:rPr>
          <w:rFonts w:ascii="Aptos" w:hAnsi="Aptos" w:eastAsia="Aptos"/>
          <w:color w:val="24323E"/>
          <w:sz w:val="20"/>
        </w:rPr>
        <w:t>Permisos por acción: listar, ver, descargar, crear, editar, aprobar, firmar, exportar, invitar, revocar y administrar permisos.</w:t>
      </w:r>
    </w:p>
    <w:p>
      <w:pPr>
        <w:spacing w:after="60" w:line="271" w:lineRule="auto"/>
        <w:keepLines/>
        <w:numPr>
          <w:ilvl w:val="0"/>
          <w:numId w:val="10"/>
        </w:numPr>
      </w:pPr>
      <w:r>
        <w:rPr>
          <w:rFonts w:ascii="Aptos" w:hAnsi="Aptos" w:eastAsia="Aptos"/>
          <w:color w:val="24323E"/>
          <w:sz w:val="20"/>
        </w:rPr>
        <w:t>Permisos por alcance: comunidad, subcomunidad, bloque, escalera, unidad, expediente, ejercicio y proveedor.</w:t>
      </w:r>
    </w:p>
    <w:p>
      <w:pPr>
        <w:spacing w:after="60" w:line="271" w:lineRule="auto"/>
        <w:keepLines/>
        <w:numPr>
          <w:ilvl w:val="0"/>
          <w:numId w:val="10"/>
        </w:numPr>
      </w:pPr>
      <w:r>
        <w:rPr>
          <w:rFonts w:ascii="Aptos" w:hAnsi="Aptos" w:eastAsia="Aptos"/>
          <w:color w:val="24323E"/>
          <w:sz w:val="20"/>
        </w:rPr>
        <w:t>Permisos temporales: fecha de inicio/fin, sustitución, vacaciones, auditoría o asistencia puntual.</w:t>
      </w:r>
    </w:p>
    <w:p>
      <w:pPr>
        <w:spacing w:after="60" w:line="271" w:lineRule="auto"/>
        <w:keepLines/>
        <w:numPr>
          <w:ilvl w:val="0"/>
          <w:numId w:val="10"/>
        </w:numPr>
      </w:pPr>
      <w:r>
        <w:rPr>
          <w:rFonts w:ascii="Aptos" w:hAnsi="Aptos" w:eastAsia="Aptos"/>
          <w:color w:val="24323E"/>
          <w:sz w:val="20"/>
        </w:rPr>
        <w:t>Acciones críticas con doble control: cambios bancarios, exportación total, borrado, alta del administrador, emisión masiva y cierre de ejercicio.</w:t>
      </w:r>
    </w:p>
    <w:p>
      <w:bookmarkStart w:id="29" w:name="sec_019"/>
      <w:pPr>
        <w:pStyle w:val="Heading1"/>
        <w:keepLines/>
      </w:pPr>
      <w:r>
        <w:t>7. Experiencia del vecino</w:t>
      </w:r>
      <w:bookmarkEnd w:id="29"/>
    </w:p>
    <w:p>
      <w:bookmarkStart w:id="30" w:name="sec_020"/>
      <w:pPr>
        <w:pStyle w:val="Heading2"/>
        <w:keepLines/>
      </w:pPr>
      <w:r>
        <w:t>7.1 Inicio y panel personal</w:t>
      </w:r>
      <w:bookmarkEnd w:id="30"/>
    </w:p>
    <w:p>
      <w:pPr>
        <w:keepLines/>
        <w:spacing w:before="0" w:after="80" w:line="269" w:lineRule="auto"/>
      </w:pPr>
      <w:r>
        <w:rPr>
          <w:rFonts w:ascii="Aptos" w:hAnsi="Aptos" w:eastAsia="Aptos"/>
          <w:b w:val="0"/>
          <w:i w:val="0"/>
          <w:color w:val="24323E"/>
          <w:sz w:val="21"/>
        </w:rPr>
        <w:t>La pantalla principal debe responder en menos de diez segundos a cuatro preguntas: ¿debo algo?, ¿hay algo importante?, ¿qué está pasando en mi comunidad? y ¿cómo pido ayuda?</w:t>
      </w:r>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900"/>
        <w:gridCol w:w="7460"/>
      </w:tblGrid>
      <w:tr>
        <w:trPr>
          <w:cantSplit/>
          <w:trHeight w:hRule="atLeast"/>
          <w:tblHeader w:val="true"/>
          <w:cantSplit/>
        </w:trPr>
        <w:tc>
          <w:tcPr>
            <w:tcW w:type="dxa" w:w="19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Zona</w:t>
            </w:r>
          </w:p>
        </w:tc>
        <w:tc>
          <w:tcPr>
            <w:tcW w:type="dxa" w:w="74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Contenido</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Mi situación</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Saldo, próximo recibo, devoluciones, derramas y justificantes, sin exponer información ajena.</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Lo importante</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Convocatorias, plazos, cortes, obras, emergencias y documentos que requieren acción.</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Mi comunidad</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Presupuesto resumido, acuerdos publicados, incidencias comunes y estado de proyectos.</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Acciones rápidas</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Comunicar incidencia, contactar, reservar, pagar, descargar certificado y delegar asistencia.</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Ayuda</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Lenguaje claro, preguntas frecuentes, contacto humano y guía paso a paso.</w:t>
            </w:r>
          </w:p>
        </w:tc>
      </w:tr>
    </w:tbl>
    <w:p>
      <w:pPr>
        <w:keepLines/>
        <w:spacing w:after="0"/>
      </w:pPr>
    </w:p>
    <w:p>
      <w:bookmarkStart w:id="31" w:name="sec_021"/>
      <w:pPr>
        <w:pStyle w:val="Heading2"/>
        <w:keepLines/>
      </w:pPr>
      <w:r>
        <w:t>7.2 Alta e identidad</w:t>
      </w:r>
      <w:bookmarkEnd w:id="31"/>
    </w:p>
    <w:p>
      <w:pPr>
        <w:spacing w:after="60" w:line="271" w:lineRule="auto"/>
        <w:keepLines/>
        <w:numPr>
          <w:ilvl w:val="0"/>
          <w:numId w:val="10"/>
        </w:numPr>
      </w:pPr>
      <w:r>
        <w:rPr>
          <w:rFonts w:ascii="Aptos" w:hAnsi="Aptos" w:eastAsia="Aptos"/>
          <w:color w:val="24323E"/>
          <w:sz w:val="20"/>
        </w:rPr>
        <w:t>Invitación por canal verificado y código de activación de un solo uso; nunca mediante listados públicos.</w:t>
      </w:r>
    </w:p>
    <w:p>
      <w:pPr>
        <w:spacing w:after="60" w:line="271" w:lineRule="auto"/>
        <w:keepLines/>
        <w:numPr>
          <w:ilvl w:val="0"/>
          <w:numId w:val="10"/>
        </w:numPr>
      </w:pPr>
      <w:r>
        <w:rPr>
          <w:rFonts w:ascii="Aptos" w:hAnsi="Aptos" w:eastAsia="Aptos"/>
          <w:color w:val="24323E"/>
          <w:sz w:val="20"/>
        </w:rPr>
        <w:t>Vinculación a una o varias unidades con revisión del administrador/presidencia cuando no exista fuente fiable.</w:t>
      </w:r>
    </w:p>
    <w:p>
      <w:pPr>
        <w:spacing w:after="60" w:line="271" w:lineRule="auto"/>
        <w:keepLines/>
        <w:numPr>
          <w:ilvl w:val="0"/>
          <w:numId w:val="10"/>
        </w:numPr>
      </w:pPr>
      <w:r>
        <w:rPr>
          <w:rFonts w:ascii="Aptos" w:hAnsi="Aptos" w:eastAsia="Aptos"/>
          <w:color w:val="24323E"/>
          <w:sz w:val="20"/>
        </w:rPr>
        <w:t>Separación entre persona, relación con la unidad y credencial. Un cambio de vivienda no obliga a crear otra identidad.</w:t>
      </w:r>
    </w:p>
    <w:p>
      <w:pPr>
        <w:spacing w:after="60" w:line="271" w:lineRule="auto"/>
        <w:keepLines/>
        <w:numPr>
          <w:ilvl w:val="0"/>
          <w:numId w:val="10"/>
        </w:numPr>
      </w:pPr>
      <w:r>
        <w:rPr>
          <w:rFonts w:ascii="Aptos" w:hAnsi="Aptos" w:eastAsia="Aptos"/>
          <w:color w:val="24323E"/>
          <w:sz w:val="20"/>
        </w:rPr>
        <w:t>Recuperación segura sin depender exclusivamente del correo; opción de asistencia presencial documentada.</w:t>
      </w:r>
    </w:p>
    <w:p>
      <w:pPr>
        <w:spacing w:after="60" w:line="271" w:lineRule="auto"/>
        <w:keepLines/>
        <w:numPr>
          <w:ilvl w:val="0"/>
          <w:numId w:val="10"/>
        </w:numPr>
      </w:pPr>
      <w:r>
        <w:rPr>
          <w:rFonts w:ascii="Aptos" w:hAnsi="Aptos" w:eastAsia="Aptos"/>
          <w:color w:val="24323E"/>
          <w:sz w:val="20"/>
        </w:rPr>
        <w:t>Autenticación reforzada para datos financieros, firmas, cambios de contacto y votaciones cuando proceda.</w:t>
      </w:r>
    </w:p>
    <w:p>
      <w:bookmarkStart w:id="32" w:name="sec_022"/>
      <w:pPr>
        <w:pStyle w:val="Heading2"/>
        <w:keepLines/>
      </w:pPr>
      <w:r>
        <w:t>7.3 Inclusión digital</w:t>
      </w:r>
      <w:bookmarkEnd w:id="32"/>
    </w:p>
    <w:p>
      <w:pPr>
        <w:spacing w:after="60" w:line="271" w:lineRule="auto"/>
        <w:keepLines/>
        <w:numPr>
          <w:ilvl w:val="0"/>
          <w:numId w:val="10"/>
        </w:numPr>
      </w:pPr>
      <w:r>
        <w:rPr>
          <w:rFonts w:ascii="Aptos" w:hAnsi="Aptos" w:eastAsia="Aptos"/>
          <w:color w:val="24323E"/>
          <w:sz w:val="20"/>
        </w:rPr>
        <w:t>Tamaño base legible, botones grandes, contraste alto, navegación coherente y lenguaje no técnico.</w:t>
      </w:r>
    </w:p>
    <w:p>
      <w:pPr>
        <w:spacing w:after="60" w:line="271" w:lineRule="auto"/>
        <w:keepLines/>
        <w:numPr>
          <w:ilvl w:val="0"/>
          <w:numId w:val="10"/>
        </w:numPr>
      </w:pPr>
      <w:r>
        <w:rPr>
          <w:rFonts w:ascii="Aptos" w:hAnsi="Aptos" w:eastAsia="Aptos"/>
          <w:color w:val="24323E"/>
          <w:sz w:val="20"/>
        </w:rPr>
        <w:t>Diseño conforme a WCAG 2.2 AA como objetivo, con teclado, lectores de pantalla, subtítulos y reducción de movimiento.</w:t>
      </w:r>
    </w:p>
    <w:p>
      <w:pPr>
        <w:spacing w:after="60" w:line="271" w:lineRule="auto"/>
        <w:keepLines/>
        <w:numPr>
          <w:ilvl w:val="0"/>
          <w:numId w:val="10"/>
        </w:numPr>
      </w:pPr>
      <w:r>
        <w:rPr>
          <w:rFonts w:ascii="Aptos" w:hAnsi="Aptos" w:eastAsia="Aptos"/>
          <w:color w:val="24323E"/>
          <w:sz w:val="20"/>
        </w:rPr>
        <w:t>Modo sencillo opcional con tres entradas: Avisos, Mis recibos y Pedir ayuda.</w:t>
      </w:r>
    </w:p>
    <w:p>
      <w:pPr>
        <w:spacing w:after="60" w:line="271" w:lineRule="auto"/>
        <w:keepLines/>
        <w:numPr>
          <w:ilvl w:val="0"/>
          <w:numId w:val="10"/>
        </w:numPr>
      </w:pPr>
      <w:r>
        <w:rPr>
          <w:rFonts w:ascii="Aptos" w:hAnsi="Aptos" w:eastAsia="Aptos"/>
          <w:color w:val="24323E"/>
          <w:sz w:val="20"/>
        </w:rPr>
        <w:t>Preferencias de canal: app, correo, SMS, correo postal o llamada para avisos críticos, según base jurídica y consentimiento cuando proceda.</w:t>
      </w:r>
    </w:p>
    <w:p>
      <w:pPr>
        <w:spacing w:after="60" w:line="271" w:lineRule="auto"/>
        <w:keepLines/>
        <w:numPr>
          <w:ilvl w:val="0"/>
          <w:numId w:val="10"/>
        </w:numPr>
      </w:pPr>
      <w:r>
        <w:rPr>
          <w:rFonts w:ascii="Aptos" w:hAnsi="Aptos" w:eastAsia="Aptos"/>
          <w:color w:val="24323E"/>
          <w:sz w:val="20"/>
        </w:rPr>
        <w:t>Nunca hacer obligatoria la app para ejercer derechos esenciales si existe una alternativa razonable y legalmente exigible.</w:t>
      </w:r>
    </w:p>
    <w:p>
      <w:bookmarkStart w:id="33" w:name="sec_023"/>
      <w:pPr>
        <w:pStyle w:val="Heading1"/>
        <w:keepLines/>
      </w:pPr>
      <w:r>
        <w:t>8. Núcleo administrativo y económico</w:t>
      </w:r>
      <w:bookmarkEnd w:id="33"/>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2050"/>
        <w:gridCol w:w="7310"/>
      </w:tblGrid>
      <w:tr>
        <w:trPr>
          <w:cantSplit/>
          <w:trHeight w:hRule="atLeast"/>
          <w:tblHeader w:val="true"/>
          <w:cantSplit/>
        </w:trPr>
        <w:tc>
          <w:tcPr>
            <w:tcW w:type="dxa" w:w="205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Módulo</w:t>
            </w:r>
          </w:p>
        </w:tc>
        <w:tc>
          <w:tcPr>
            <w:tcW w:type="dxa" w:w="731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Capacidades principales</w:t>
            </w:r>
          </w:p>
        </w:tc>
      </w:tr>
      <w:tr>
        <w:trPr>
          <w:cantSplit/>
          <w:trHeight w:hRule="atLeast"/>
        </w:trPr>
        <w:tc>
          <w:tcPr>
            <w:tcW w:type="dxa" w:w="20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Censo y unidades</w:t>
            </w:r>
          </w:p>
        </w:tc>
        <w:tc>
          <w:tcPr>
            <w:tcW w:type="dxa" w:w="731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Personas, titulares, ocupantes, unidades, anexos, cuotas, fechas de efecto y documentación acreditativa</w:t>
            </w:r>
          </w:p>
        </w:tc>
      </w:tr>
      <w:tr>
        <w:trPr>
          <w:cantSplit/>
          <w:trHeight w:hRule="atLeast"/>
        </w:trPr>
        <w:tc>
          <w:tcPr>
            <w:tcW w:type="dxa" w:w="20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Presupuestos</w:t>
            </w:r>
          </w:p>
        </w:tc>
        <w:tc>
          <w:tcPr>
            <w:tcW w:type="dxa" w:w="731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Capítulos, partidas, comparativas, escenarios, aprobación, fondo de reserva y ejecución</w:t>
            </w:r>
          </w:p>
        </w:tc>
      </w:tr>
      <w:tr>
        <w:trPr>
          <w:cantSplit/>
          <w:trHeight w:hRule="atLeast"/>
        </w:trPr>
        <w:tc>
          <w:tcPr>
            <w:tcW w:type="dxa" w:w="20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Cuotas y derramas</w:t>
            </w:r>
          </w:p>
        </w:tc>
        <w:tc>
          <w:tcPr>
            <w:tcW w:type="dxa" w:w="731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Periodicidad, reglas de reparto, exenciones, mínimos, redondeos, calendario y trazabilidad</w:t>
            </w:r>
          </w:p>
        </w:tc>
      </w:tr>
      <w:tr>
        <w:trPr>
          <w:cantSplit/>
          <w:trHeight w:hRule="atLeast"/>
        </w:trPr>
        <w:tc>
          <w:tcPr>
            <w:tcW w:type="dxa" w:w="20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Recibos y cobros</w:t>
            </w:r>
          </w:p>
        </w:tc>
        <w:tc>
          <w:tcPr>
            <w:tcW w:type="dxa" w:w="731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Emisión, domiciliación, transferencias, pasarela, devoluciones, recobro y conciliación</w:t>
            </w:r>
          </w:p>
        </w:tc>
      </w:tr>
      <w:tr>
        <w:trPr>
          <w:cantSplit/>
          <w:trHeight w:hRule="atLeast"/>
        </w:trPr>
        <w:tc>
          <w:tcPr>
            <w:tcW w:type="dxa" w:w="20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Contabilidad</w:t>
            </w:r>
          </w:p>
        </w:tc>
        <w:tc>
          <w:tcPr>
            <w:tcW w:type="dxa" w:w="731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Plan configurable, asientos, diario, mayor, saldos, cierres, periodificación y documentos</w:t>
            </w:r>
          </w:p>
        </w:tc>
      </w:tr>
      <w:tr>
        <w:trPr>
          <w:cantSplit/>
          <w:trHeight w:hRule="atLeast"/>
        </w:trPr>
        <w:tc>
          <w:tcPr>
            <w:tcW w:type="dxa" w:w="20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Bancos</w:t>
            </w:r>
          </w:p>
        </w:tc>
        <w:tc>
          <w:tcPr>
            <w:tcW w:type="dxa" w:w="731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Cuentas de titularidad comunitaria, importación, open banking mediante proveedor, conciliación y autorizaciones</w:t>
            </w:r>
          </w:p>
        </w:tc>
      </w:tr>
      <w:tr>
        <w:trPr>
          <w:cantSplit/>
          <w:trHeight w:hRule="atLeast"/>
        </w:trPr>
        <w:tc>
          <w:tcPr>
            <w:tcW w:type="dxa" w:w="20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Proveedores</w:t>
            </w:r>
          </w:p>
        </w:tc>
        <w:tc>
          <w:tcPr>
            <w:tcW w:type="dxa" w:w="731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Ficha, presupuestos, contratos, certificados, vencimientos, facturas, retenciones y evaluación</w:t>
            </w:r>
          </w:p>
        </w:tc>
      </w:tr>
      <w:tr>
        <w:trPr>
          <w:cantSplit/>
          <w:trHeight w:hRule="atLeast"/>
        </w:trPr>
        <w:tc>
          <w:tcPr>
            <w:tcW w:type="dxa" w:w="20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Facturas y gastos</w:t>
            </w:r>
          </w:p>
        </w:tc>
        <w:tc>
          <w:tcPr>
            <w:tcW w:type="dxa" w:w="731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OCR asistido, validación, imputación, aprobación, pago y evidencia de la prestación</w:t>
            </w:r>
          </w:p>
        </w:tc>
      </w:tr>
      <w:tr>
        <w:trPr>
          <w:cantSplit/>
          <w:trHeight w:hRule="atLeast"/>
        </w:trPr>
        <w:tc>
          <w:tcPr>
            <w:tcW w:type="dxa" w:w="20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Morosidad</w:t>
            </w:r>
          </w:p>
        </w:tc>
        <w:tc>
          <w:tcPr>
            <w:tcW w:type="dxa" w:w="731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Deuda, intereses/reglas aprobadas, avisos privados, acuerdos, certificados y expediente monitorio</w:t>
            </w:r>
          </w:p>
        </w:tc>
      </w:tr>
      <w:tr>
        <w:trPr>
          <w:cantSplit/>
          <w:trHeight w:hRule="atLeast"/>
        </w:trPr>
        <w:tc>
          <w:tcPr>
            <w:tcW w:type="dxa" w:w="20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Fiscal y laboral</w:t>
            </w:r>
          </w:p>
        </w:tc>
        <w:tc>
          <w:tcPr>
            <w:tcW w:type="dxa" w:w="731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Modelos, vencimientos y exportaciones para asesoría; empleados, nóminas y PRL como módulo protegido</w:t>
            </w:r>
          </w:p>
        </w:tc>
      </w:tr>
      <w:tr>
        <w:trPr>
          <w:cantSplit/>
          <w:trHeight w:hRule="atLeast"/>
        </w:trPr>
        <w:tc>
          <w:tcPr>
            <w:tcW w:type="dxa" w:w="20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Informes</w:t>
            </w:r>
          </w:p>
        </w:tc>
        <w:tc>
          <w:tcPr>
            <w:tcW w:type="dxa" w:w="731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Balance, presupuesto vs. real, tesorería, deuda, proveedor, estructura y paquete anual</w:t>
            </w:r>
          </w:p>
        </w:tc>
      </w:tr>
    </w:tbl>
    <w:p>
      <w:pPr>
        <w:keepLines/>
        <w:spacing w:after="0"/>
      </w:pPr>
    </w:p>
    <w:p>
      <w:bookmarkStart w:id="34" w:name="sec_024"/>
      <w:pPr>
        <w:pStyle w:val="Heading2"/>
        <w:keepLines/>
      </w:pPr>
      <w:r>
        <w:t>8.1 Motor de reparto</w:t>
      </w:r>
      <w:bookmarkEnd w:id="34"/>
    </w:p>
    <w:p>
      <w:pPr>
        <w:keepLines/>
        <w:spacing w:before="0" w:after="80" w:line="269" w:lineRule="auto"/>
      </w:pPr>
      <w:r>
        <w:rPr>
          <w:rFonts w:ascii="Aptos" w:hAnsi="Aptos" w:eastAsia="Aptos"/>
          <w:b w:val="0"/>
          <w:i w:val="0"/>
          <w:color w:val="24323E"/>
          <w:sz w:val="21"/>
        </w:rPr>
        <w:t>Cada cargo debe conservar la fórmula que lo originó. El motor admite coeficiente general, coeficiente específico, importe fijo, consumo, superficie, unidad, acuerdo excepcional o combinación; toda excepción requiere motivo, vigencia y evidencia.</w:t>
      </w:r>
    </w:p>
    <w:p>
      <w:pPr>
        <w:spacing w:after="60" w:line="271" w:lineRule="auto"/>
        <w:keepLines/>
        <w:numPr>
          <w:ilvl w:val="0"/>
          <w:numId w:val="10"/>
        </w:numPr>
      </w:pPr>
      <w:r>
        <w:rPr>
          <w:rFonts w:ascii="Aptos" w:hAnsi="Aptos" w:eastAsia="Aptos"/>
          <w:color w:val="24323E"/>
          <w:sz w:val="20"/>
        </w:rPr>
        <w:t>Versionado temporal de coeficientes y reglas; nunca sobrescribir el pasado.</w:t>
      </w:r>
    </w:p>
    <w:p>
      <w:pPr>
        <w:spacing w:after="60" w:line="271" w:lineRule="auto"/>
        <w:keepLines/>
        <w:numPr>
          <w:ilvl w:val="0"/>
          <w:numId w:val="10"/>
        </w:numPr>
      </w:pPr>
      <w:r>
        <w:rPr>
          <w:rFonts w:ascii="Aptos" w:hAnsi="Aptos" w:eastAsia="Aptos"/>
          <w:color w:val="24323E"/>
          <w:sz w:val="20"/>
        </w:rPr>
        <w:t>Simulación previa: total, distribución, redondeos y comparación con el periodo anterior.</w:t>
      </w:r>
    </w:p>
    <w:p>
      <w:pPr>
        <w:spacing w:after="60" w:line="271" w:lineRule="auto"/>
        <w:keepLines/>
        <w:numPr>
          <w:ilvl w:val="0"/>
          <w:numId w:val="10"/>
        </w:numPr>
      </w:pPr>
      <w:r>
        <w:rPr>
          <w:rFonts w:ascii="Aptos" w:hAnsi="Aptos" w:eastAsia="Aptos"/>
          <w:color w:val="24323E"/>
          <w:sz w:val="20"/>
        </w:rPr>
        <w:t>Validación: suma de cuotas, unidades sin regla, exenciones vencidas, importes negativos y diferencias de redondeo.</w:t>
      </w:r>
    </w:p>
    <w:p>
      <w:pPr>
        <w:spacing w:after="60" w:line="271" w:lineRule="auto"/>
        <w:keepLines/>
        <w:numPr>
          <w:ilvl w:val="0"/>
          <w:numId w:val="10"/>
        </w:numPr>
      </w:pPr>
      <w:r>
        <w:rPr>
          <w:rFonts w:ascii="Aptos" w:hAnsi="Aptos" w:eastAsia="Aptos"/>
          <w:color w:val="24323E"/>
          <w:sz w:val="20"/>
        </w:rPr>
        <w:t>Explicación al propietario: concepto, periodo, base, fórmula, coeficiente y documento aprobatorio.</w:t>
      </w:r>
    </w:p>
    <w:p>
      <w:bookmarkStart w:id="35" w:name="sec_025"/>
      <w:pPr>
        <w:pStyle w:val="Heading2"/>
        <w:keepLines/>
      </w:pPr>
      <w:r>
        <w:t>8.2 Dinero y controles</w:t>
      </w:r>
      <w:bookmarkEnd w:id="35"/>
    </w:p>
    <w:p>
      <w:pPr>
        <w:spacing w:after="60" w:line="271" w:lineRule="auto"/>
        <w:keepLines/>
        <w:numPr>
          <w:ilvl w:val="0"/>
          <w:numId w:val="10"/>
        </w:numPr>
      </w:pPr>
      <w:r>
        <w:rPr>
          <w:rFonts w:ascii="Aptos" w:hAnsi="Aptos" w:eastAsia="Aptos"/>
          <w:color w:val="24323E"/>
          <w:sz w:val="20"/>
        </w:rPr>
        <w:t>La plataforma no debe custodiar dinero por defecto. Integra bancos o proveedores de pago regulados y registra instrucciones y resultados.</w:t>
      </w:r>
    </w:p>
    <w:p>
      <w:pPr>
        <w:spacing w:after="60" w:line="271" w:lineRule="auto"/>
        <w:keepLines/>
        <w:numPr>
          <w:ilvl w:val="0"/>
          <w:numId w:val="10"/>
        </w:numPr>
      </w:pPr>
      <w:r>
        <w:rPr>
          <w:rFonts w:ascii="Aptos" w:hAnsi="Aptos" w:eastAsia="Aptos"/>
          <w:color w:val="24323E"/>
          <w:sz w:val="20"/>
        </w:rPr>
        <w:t>La cuenta bancaria debe estar a nombre de la comunidad, con autorizados conforme a los acuerdos y poderes vigentes.</w:t>
      </w:r>
    </w:p>
    <w:p>
      <w:pPr>
        <w:spacing w:after="60" w:line="271" w:lineRule="auto"/>
        <w:keepLines/>
        <w:numPr>
          <w:ilvl w:val="0"/>
          <w:numId w:val="10"/>
        </w:numPr>
      </w:pPr>
      <w:r>
        <w:rPr>
          <w:rFonts w:ascii="Aptos" w:hAnsi="Aptos" w:eastAsia="Aptos"/>
          <w:color w:val="24323E"/>
          <w:sz w:val="20"/>
        </w:rPr>
        <w:t>Ningún usuario modifica un IBAN de proveedor y ordena el pago en la misma sesión sin control adicional.</w:t>
      </w:r>
    </w:p>
    <w:p>
      <w:pPr>
        <w:spacing w:after="60" w:line="271" w:lineRule="auto"/>
        <w:keepLines/>
        <w:numPr>
          <w:ilvl w:val="0"/>
          <w:numId w:val="10"/>
        </w:numPr>
      </w:pPr>
      <w:r>
        <w:rPr>
          <w:rFonts w:ascii="Aptos" w:hAnsi="Aptos" w:eastAsia="Aptos"/>
          <w:color w:val="24323E"/>
          <w:sz w:val="20"/>
        </w:rPr>
        <w:t>Detección de duplicados, desviaciones, proveedores nuevos, cambios de cuenta, facturas sin pedido y pagos fraccionados inusuales.</w:t>
      </w:r>
    </w:p>
    <w:p>
      <w:pPr>
        <w:spacing w:after="60" w:line="271" w:lineRule="auto"/>
        <w:keepLines/>
        <w:numPr>
          <w:ilvl w:val="0"/>
          <w:numId w:val="10"/>
        </w:numPr>
      </w:pPr>
      <w:r>
        <w:rPr>
          <w:rFonts w:ascii="Aptos" w:hAnsi="Aptos" w:eastAsia="Aptos"/>
          <w:color w:val="24323E"/>
          <w:sz w:val="20"/>
        </w:rPr>
        <w:t>Cierre de periodo bloqueable, reapertura motivada y asiento inverso en lugar de borrado silencioso.</w:t>
      </w:r>
    </w:p>
    <w:p>
      <w:bookmarkStart w:id="36" w:name="sec_026"/>
      <w:pPr>
        <w:pStyle w:val="Heading1"/>
        <w:keepLines/>
      </w:pPr>
      <w:r>
        <w:t>9. Juntas, acuerdos y gobierno</w:t>
      </w:r>
      <w:bookmarkEnd w:id="36"/>
    </w:p>
    <w:p>
      <w:bookmarkStart w:id="37" w:name="sec_027"/>
      <w:pPr>
        <w:pStyle w:val="Heading2"/>
        <w:keepLines/>
      </w:pPr>
      <w:r>
        <w:t>9.1 Ciclo completo de una Junta</w:t>
      </w:r>
      <w:bookmarkEnd w:id="37"/>
    </w:p>
    <w:tbl>
      <w:tblPr>
        <w:tblW w:type="dxa" w:w="9360"/>
        <w:jc w:val="left"/>
        <w:tblLayout w:type="fixed"/>
        <w:tblLook w:firstColumn="1" w:firstRow="1" w:lastColumn="0" w:lastRow="0" w:noHBand="0" w:noVBand="1" w:val="04A0"/>
        <w:tblInd w:w="90" w:type="dxa"/>
        <w:tblBorders>
          <w:top w:val="single" w:sz="0" w:space="0" w:color="FFFFFF"/>
          <w:left w:val="single" w:sz="0" w:space="0" w:color="FFFFFF"/>
          <w:bottom w:val="single" w:sz="0" w:space="0" w:color="FFFFFF"/>
          <w:right w:val="single" w:sz="0" w:space="0" w:color="FFFFFF"/>
        </w:tblBorders>
      </w:tblPr>
      <w:tblGrid>
        <w:gridCol w:w="1872"/>
        <w:gridCol w:w="1872"/>
        <w:gridCol w:w="1872"/>
        <w:gridCol w:w="1872"/>
        <w:gridCol w:w="1872"/>
      </w:tblGrid>
      <w:tr>
        <w:trPr>
          <w:cantSplit/>
          <w:trHeight w:hRule="atLeast"/>
        </w:trPr>
        <w:tc>
          <w:tcPr>
            <w:tcW w:type="dxa" w:w="1872"/>
            <w:tcMar>
              <w:top w:w="150" w:type="dxa"/>
              <w:start w:w="90" w:type="dxa"/>
              <w:bottom w:w="150" w:type="dxa"/>
              <w:end w:w="90" w:type="dxa"/>
            </w:tcMar>
            <w:vAlign w:val="center"/>
            <w:shd w:fill="EAF6F3" w:val="clear"/>
          </w:tcPr>
          <w:p>
            <w:pPr>
              <w:spacing w:before="0" w:after="0" w:line="252" w:lineRule="auto"/>
              <w:jc w:val="center"/>
            </w:pPr>
            <w:r>
              <w:rPr>
                <w:rFonts w:ascii="Aptos" w:hAnsi="Aptos" w:eastAsia="Aptos"/>
                <w:b/>
                <w:i w:val="0"/>
                <w:color w:val="16324F"/>
                <w:sz w:val="18"/>
              </w:rPr>
              <w:t>Propuesta</w:t>
            </w:r>
          </w:p>
        </w:tc>
        <w:tc>
          <w:tcPr>
            <w:tcW w:type="dxa" w:w="1872"/>
            <w:tcMar>
              <w:top w:w="150" w:type="dxa"/>
              <w:start w:w="90" w:type="dxa"/>
              <w:bottom w:w="150" w:type="dxa"/>
              <w:end w:w="90" w:type="dxa"/>
            </w:tcMar>
            <w:vAlign w:val="center"/>
            <w:shd w:fill="EAF3F7" w:val="clear"/>
          </w:tcPr>
          <w:p>
            <w:pPr>
              <w:spacing w:before="0" w:after="0" w:line="252" w:lineRule="auto"/>
              <w:jc w:val="center"/>
            </w:pPr>
            <w:r>
              <w:rPr>
                <w:rFonts w:ascii="Aptos" w:hAnsi="Aptos" w:eastAsia="Aptos"/>
                <w:b/>
                <w:i w:val="0"/>
                <w:color w:val="16324F"/>
                <w:sz w:val="18"/>
              </w:rPr>
              <w:t>Convocatoria</w:t>
            </w:r>
          </w:p>
        </w:tc>
        <w:tc>
          <w:tcPr>
            <w:tcW w:type="dxa" w:w="1872"/>
            <w:tcMar>
              <w:top w:w="150" w:type="dxa"/>
              <w:start w:w="90" w:type="dxa"/>
              <w:bottom w:w="150" w:type="dxa"/>
              <w:end w:w="90" w:type="dxa"/>
            </w:tcMar>
            <w:vAlign w:val="center"/>
            <w:shd w:fill="EAF6F3" w:val="clear"/>
          </w:tcPr>
          <w:p>
            <w:pPr>
              <w:spacing w:before="0" w:after="0" w:line="252" w:lineRule="auto"/>
              <w:jc w:val="center"/>
            </w:pPr>
            <w:r>
              <w:rPr>
                <w:rFonts w:ascii="Aptos" w:hAnsi="Aptos" w:eastAsia="Aptos"/>
                <w:b/>
                <w:i w:val="0"/>
                <w:color w:val="16324F"/>
                <w:sz w:val="18"/>
              </w:rPr>
              <w:t>Acreditación</w:t>
            </w:r>
          </w:p>
        </w:tc>
        <w:tc>
          <w:tcPr>
            <w:tcW w:type="dxa" w:w="1872"/>
            <w:tcMar>
              <w:top w:w="150" w:type="dxa"/>
              <w:start w:w="90" w:type="dxa"/>
              <w:bottom w:w="150" w:type="dxa"/>
              <w:end w:w="90" w:type="dxa"/>
            </w:tcMar>
            <w:vAlign w:val="center"/>
            <w:shd w:fill="EAF3F7" w:val="clear"/>
          </w:tcPr>
          <w:p>
            <w:pPr>
              <w:spacing w:before="0" w:after="0" w:line="252" w:lineRule="auto"/>
              <w:jc w:val="center"/>
            </w:pPr>
            <w:r>
              <w:rPr>
                <w:rFonts w:ascii="Aptos" w:hAnsi="Aptos" w:eastAsia="Aptos"/>
                <w:b/>
                <w:i w:val="0"/>
                <w:color w:val="16324F"/>
                <w:sz w:val="18"/>
              </w:rPr>
              <w:t>Celebración</w:t>
            </w:r>
          </w:p>
        </w:tc>
        <w:tc>
          <w:tcPr>
            <w:tcW w:type="dxa" w:w="1872"/>
            <w:tcMar>
              <w:top w:w="150" w:type="dxa"/>
              <w:start w:w="90" w:type="dxa"/>
              <w:bottom w:w="150" w:type="dxa"/>
              <w:end w:w="90" w:type="dxa"/>
            </w:tcMar>
            <w:vAlign w:val="center"/>
            <w:shd w:fill="EAF6F3" w:val="clear"/>
          </w:tcPr>
          <w:p>
            <w:pPr>
              <w:spacing w:before="0" w:after="0" w:line="252" w:lineRule="auto"/>
              <w:jc w:val="center"/>
            </w:pPr>
            <w:r>
              <w:rPr>
                <w:rFonts w:ascii="Aptos" w:hAnsi="Aptos" w:eastAsia="Aptos"/>
                <w:b/>
                <w:i w:val="0"/>
                <w:color w:val="16324F"/>
                <w:sz w:val="18"/>
              </w:rPr>
              <w:t>Acta y ejecución</w:t>
            </w:r>
          </w:p>
        </w:tc>
      </w:tr>
    </w:tbl>
    <w:p>
      <w:pPr>
        <w:keepLines/>
        <w:spacing w:before="60" w:after="120" w:line="269" w:lineRule="auto"/>
        <w:jc w:val="center"/>
      </w:pPr>
      <w:r>
        <w:rPr>
          <w:rFonts w:ascii="Aptos" w:hAnsi="Aptos" w:eastAsia="Aptos"/>
          <w:b w:val="0"/>
          <w:i/>
          <w:color w:val="647481"/>
          <w:sz w:val="17"/>
        </w:rPr>
        <w:t>El expediente conserva documentos, estados, autores y evidencias</w:t>
      </w:r>
    </w:p>
    <w:p>
      <w:pPr>
        <w:spacing w:after="60" w:line="271" w:lineRule="auto"/>
        <w:keepLines/>
        <w:numPr>
          <w:ilvl w:val="0"/>
          <w:numId w:val="12"/>
        </w:numPr>
      </w:pPr>
      <w:r>
        <w:rPr>
          <w:rFonts w:ascii="Aptos" w:hAnsi="Aptos" w:eastAsia="Aptos"/>
          <w:color w:val="24323E"/>
          <w:sz w:val="20"/>
        </w:rPr>
        <w:t>Recoger solicitudes de puntos del orden del día y clasificarlas sin decidir automáticamente su admisión.</w:t>
      </w:r>
    </w:p>
    <w:p>
      <w:pPr>
        <w:spacing w:after="60" w:line="271" w:lineRule="auto"/>
        <w:keepLines/>
        <w:numPr>
          <w:ilvl w:val="0"/>
          <w:numId w:val="12"/>
        </w:numPr>
      </w:pPr>
      <w:r>
        <w:rPr>
          <w:rFonts w:ascii="Aptos" w:hAnsi="Aptos" w:eastAsia="Aptos"/>
          <w:color w:val="24323E"/>
          <w:sz w:val="20"/>
        </w:rPr>
        <w:t>Preparar convocatoria con tipo, promotor, fecha, lugar, primera/segunda convocatoria, asuntos, documentación y situación de voto.</w:t>
      </w:r>
    </w:p>
    <w:p>
      <w:pPr>
        <w:spacing w:after="60" w:line="271" w:lineRule="auto"/>
        <w:keepLines/>
        <w:numPr>
          <w:ilvl w:val="0"/>
          <w:numId w:val="12"/>
        </w:numPr>
      </w:pPr>
      <w:r>
        <w:rPr>
          <w:rFonts w:ascii="Aptos" w:hAnsi="Aptos" w:eastAsia="Aptos"/>
          <w:color w:val="24323E"/>
          <w:sz w:val="20"/>
        </w:rPr>
        <w:t>Enviar por canales configurados, registrar entrega o intento y generar la alternativa legal cuando corresponda.</w:t>
      </w:r>
    </w:p>
    <w:p>
      <w:pPr>
        <w:spacing w:after="60" w:line="271" w:lineRule="auto"/>
        <w:keepLines/>
        <w:numPr>
          <w:ilvl w:val="0"/>
          <w:numId w:val="12"/>
        </w:numPr>
      </w:pPr>
      <w:r>
        <w:rPr>
          <w:rFonts w:ascii="Aptos" w:hAnsi="Aptos" w:eastAsia="Aptos"/>
          <w:color w:val="24323E"/>
          <w:sz w:val="20"/>
        </w:rPr>
        <w:t>Gestionar asistentes, copropiedad, usufructo, representaciones, cuotas y privación de voto con motivo visible.</w:t>
      </w:r>
    </w:p>
    <w:p>
      <w:pPr>
        <w:spacing w:after="60" w:line="271" w:lineRule="auto"/>
        <w:keepLines/>
        <w:numPr>
          <w:ilvl w:val="0"/>
          <w:numId w:val="12"/>
        </w:numPr>
      </w:pPr>
      <w:r>
        <w:rPr>
          <w:rFonts w:ascii="Aptos" w:hAnsi="Aptos" w:eastAsia="Aptos"/>
          <w:color w:val="24323E"/>
          <w:sz w:val="20"/>
        </w:rPr>
        <w:t>Registrar deliberación, propuestas, resultado doble —personas y cuotas— y regla aplicada.</w:t>
      </w:r>
    </w:p>
    <w:p>
      <w:pPr>
        <w:spacing w:after="60" w:line="271" w:lineRule="auto"/>
        <w:keepLines/>
        <w:numPr>
          <w:ilvl w:val="0"/>
          <w:numId w:val="12"/>
        </w:numPr>
      </w:pPr>
      <w:r>
        <w:rPr>
          <w:rFonts w:ascii="Aptos" w:hAnsi="Aptos" w:eastAsia="Aptos"/>
          <w:color w:val="24323E"/>
          <w:sz w:val="20"/>
        </w:rPr>
        <w:t>Generar borrador de acta, revisión, firma, cierre, remisión y seguimiento de acuerdos.</w:t>
      </w:r>
    </w:p>
    <w:p>
      <w:bookmarkStart w:id="38" w:name="sec_028"/>
      <w:pPr>
        <w:pStyle w:val="Heading2"/>
        <w:keepLines/>
      </w:pPr>
      <w:r>
        <w:t>9.2 Motor de mayorías</w:t>
      </w:r>
      <w:bookmarkEnd w:id="38"/>
    </w:p>
    <w:p>
      <w:pPr>
        <w:keepLines/>
        <w:spacing w:before="0" w:after="80" w:line="269" w:lineRule="auto"/>
      </w:pPr>
      <w:r>
        <w:rPr>
          <w:rFonts w:ascii="Aptos" w:hAnsi="Aptos" w:eastAsia="Aptos"/>
          <w:b w:val="0"/>
          <w:i w:val="0"/>
          <w:color w:val="24323E"/>
          <w:sz w:val="21"/>
        </w:rPr>
        <w:t>El motor debe ser parametrizable y conservar una «instantánea de decisión»: padrón con derecho de voto, cuotas, asistentes, representaciones, morosidad aplicable, texto votado, regla jurídica/estatutaria y cálculo.</w:t>
      </w:r>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900"/>
        <w:gridCol w:w="7460"/>
      </w:tblGrid>
      <w:tr>
        <w:trPr>
          <w:cantSplit/>
          <w:trHeight w:hRule="atLeast"/>
          <w:tblHeader w:val="true"/>
          <w:cantSplit/>
        </w:trPr>
        <w:tc>
          <w:tcPr>
            <w:tcW w:type="dxa" w:w="19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Estado</w:t>
            </w:r>
          </w:p>
        </w:tc>
        <w:tc>
          <w:tcPr>
            <w:tcW w:type="dxa" w:w="74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Significado</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Simulación</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Resultado orientativo antes de votar; no produce efectos.</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Provisional</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Resultado de la sesión sujeto a votos ausentes o comprobaciones cuando el régimen aplicable lo contemple.</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Aprobado / rechazado</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Resultado calculado y validado por secretario/administrador.</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Requiere revisión</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La regla no es concluyente, existe excepción estatutaria o faltan datos.</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Impugnado</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Se registra expediente y plazo; no se altera automáticamente la ejecutividad.</w:t>
            </w:r>
          </w:p>
        </w:tc>
      </w:tr>
    </w:tbl>
    <w:p>
      <w:pPr>
        <w:keepLines/>
        <w:spacing w:after="0"/>
      </w:pPr>
    </w:p>
    <w:p>
      <w:bookmarkStart w:id="39" w:name="sec_029"/>
      <w:pPr>
        <w:pStyle w:val="Heading2"/>
        <w:keepLines/>
      </w:pPr>
      <w:r>
        <w:t>9.3 Voto y reunión digital</w:t>
      </w:r>
      <w:bookmarkEnd w:id="39"/>
    </w:p>
    <w:tbl>
      <w:tblPr>
        <w:tblW w:type="dxa" w:w="9360"/>
        <w:jc w:val="left"/>
        <w:tblLayout w:type="fixed"/>
        <w:tblLook w:firstColumn="1" w:firstRow="1" w:lastColumn="0" w:lastRow="0" w:noHBand="0" w:noVBand="1" w:val="04A0"/>
        <w:tblInd w:w="180" w:type="dxa"/>
        <w:tblBorders>
          <w:top w:val="single" w:sz="8" w:space="0" w:color="D4A72C"/>
          <w:left w:val="single" w:sz="8" w:space="0" w:color="D4A72C"/>
          <w:bottom w:val="single" w:sz="8" w:space="0" w:color="D4A72C"/>
          <w:right w:val="single" w:sz="8" w:space="0" w:color="D4A72C"/>
        </w:tblBorders>
      </w:tblPr>
      <w:tblGrid>
        <w:gridCol w:w="9360"/>
      </w:tblGrid>
      <w:tr>
        <w:trPr>
          <w:cantSplit/>
          <w:trHeight w:hRule="atLeast"/>
        </w:trPr>
        <w:tc>
          <w:tcPr>
            <w:tcW w:type="dxa" w:w="9360"/>
            <w:tcMar>
              <w:top w:w="140" w:type="dxa"/>
              <w:start w:w="180" w:type="dxa"/>
              <w:bottom w:w="140" w:type="dxa"/>
              <w:end w:w="180" w:type="dxa"/>
            </w:tcMar>
            <w:vAlign w:val="center"/>
            <w:shd w:fill="FBF6E8" w:val="clear"/>
          </w:tcPr>
          <w:p>
            <w:pPr>
              <w:spacing w:after="0" w:line="271" w:lineRule="auto"/>
            </w:pPr>
            <w:r>
              <w:rPr>
                <w:rFonts w:ascii="Aptos" w:hAnsi="Aptos" w:eastAsia="Aptos"/>
                <w:b/>
                <w:color w:val="D4A72C"/>
                <w:sz w:val="18"/>
              </w:rPr>
              <w:t xml:space="preserve">CAUTELA JURÍDICA  </w:t>
            </w:r>
            <w:r>
              <w:rPr>
                <w:rFonts w:ascii="Aptos" w:hAnsi="Aptos" w:eastAsia="Aptos"/>
                <w:color w:val="24323E"/>
                <w:sz w:val="20"/>
              </w:rPr>
              <w:t>La app puede asistir reuniones, recoger manifestaciones y conservar evidencias, pero no debe presentar el voto remoto o la junta íntegramente telemática como universalmente válida. La habilitación depende del régimen territorial, estatutos, convocatoria y circunstancias. Se activará por regla jurídica configurada y revisión profesional.</w:t>
            </w:r>
          </w:p>
        </w:tc>
      </w:tr>
    </w:tbl>
    <w:p>
      <w:pPr>
        <w:keepLines/>
        <w:spacing w:after="0"/>
      </w:pPr>
    </w:p>
    <w:p>
      <w:pPr>
        <w:spacing w:after="60" w:line="271" w:lineRule="auto"/>
        <w:keepLines/>
        <w:numPr>
          <w:ilvl w:val="0"/>
          <w:numId w:val="10"/>
        </w:numPr>
      </w:pPr>
      <w:r>
        <w:rPr>
          <w:rFonts w:ascii="Aptos" w:hAnsi="Aptos" w:eastAsia="Aptos"/>
          <w:color w:val="24323E"/>
          <w:sz w:val="20"/>
        </w:rPr>
        <w:t>Modo presencial con registro digital de asistencia y voto por el secretario.</w:t>
      </w:r>
    </w:p>
    <w:p>
      <w:pPr>
        <w:spacing w:after="60" w:line="271" w:lineRule="auto"/>
        <w:keepLines/>
        <w:numPr>
          <w:ilvl w:val="0"/>
          <w:numId w:val="10"/>
        </w:numPr>
      </w:pPr>
      <w:r>
        <w:rPr>
          <w:rFonts w:ascii="Aptos" w:hAnsi="Aptos" w:eastAsia="Aptos"/>
          <w:color w:val="24323E"/>
          <w:sz w:val="20"/>
        </w:rPr>
        <w:t>Modo híbrido o remoto solo cuando esté habilitado; controles de identidad, continuidad, participación, voto y registro de incidencias.</w:t>
      </w:r>
    </w:p>
    <w:p>
      <w:pPr>
        <w:spacing w:after="60" w:line="271" w:lineRule="auto"/>
        <w:keepLines/>
        <w:numPr>
          <w:ilvl w:val="0"/>
          <w:numId w:val="10"/>
        </w:numPr>
      </w:pPr>
      <w:r>
        <w:rPr>
          <w:rFonts w:ascii="Aptos" w:hAnsi="Aptos" w:eastAsia="Aptos"/>
          <w:color w:val="24323E"/>
          <w:sz w:val="20"/>
        </w:rPr>
        <w:t>Delegación con alcance, Junta concreta, instrucciones opcionales, firma/evidencia y revocación hasta el límite permitido.</w:t>
      </w:r>
    </w:p>
    <w:p>
      <w:pPr>
        <w:spacing w:after="60" w:line="271" w:lineRule="auto"/>
        <w:keepLines/>
        <w:numPr>
          <w:ilvl w:val="0"/>
          <w:numId w:val="10"/>
        </w:numPr>
      </w:pPr>
      <w:r>
        <w:rPr>
          <w:rFonts w:ascii="Aptos" w:hAnsi="Aptos" w:eastAsia="Aptos"/>
          <w:color w:val="24323E"/>
          <w:sz w:val="20"/>
        </w:rPr>
        <w:t>Firma del acta mediante proveedor de confianza cuando proceda; el libro oficial y las diligencias registrales no se sustituyen por una simple base de datos.</w:t>
      </w:r>
    </w:p>
    <w:p>
      <w:bookmarkStart w:id="40" w:name="sec_030"/>
      <w:pPr>
        <w:pStyle w:val="Heading1"/>
        <w:keepLines/>
      </w:pPr>
      <w:r>
        <w:t>10. Comunicación, avisos y participación</w:t>
      </w:r>
      <w:bookmarkEnd w:id="40"/>
    </w:p>
    <w:p>
      <w:bookmarkStart w:id="41" w:name="sec_031"/>
      <w:pPr>
        <w:pStyle w:val="Heading2"/>
        <w:keepLines/>
      </w:pPr>
      <w:r>
        <w:t>10.1 Tipos de comunicación</w:t>
      </w:r>
      <w:bookmarkEnd w:id="41"/>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800"/>
        <w:gridCol w:w="3000"/>
        <w:gridCol w:w="4560"/>
      </w:tblGrid>
      <w:tr>
        <w:trPr>
          <w:cantSplit/>
          <w:trHeight w:hRule="atLeast"/>
          <w:tblHeader w:val="true"/>
          <w:cantSplit/>
        </w:trPr>
        <w:tc>
          <w:tcPr>
            <w:tcW w:type="dxa" w:w="18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Tipo</w:t>
            </w:r>
          </w:p>
        </w:tc>
        <w:tc>
          <w:tcPr>
            <w:tcW w:type="dxa" w:w="30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Ejemplo</w:t>
            </w:r>
          </w:p>
        </w:tc>
        <w:tc>
          <w:tcPr>
            <w:tcW w:type="dxa" w:w="45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Controles</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Aviso operativo</w:t>
            </w:r>
          </w:p>
        </w:tc>
        <w:tc>
          <w:tcPr>
            <w:tcW w:type="dxa" w:w="30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Corte de agua, ascensor, limpieza, acceso</w:t>
            </w:r>
          </w:p>
        </w:tc>
        <w:tc>
          <w:tcPr>
            <w:tcW w:type="dxa" w:w="45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Destinatarios afectados; prioridad y vigencia</w:t>
            </w:r>
          </w:p>
        </w:tc>
      </w:tr>
      <w:tr>
        <w:trPr>
          <w:cantSplit/>
          <w:trHeight w:hRule="atLeast"/>
        </w:trPr>
        <w:tc>
          <w:tcPr>
            <w:tcW w:type="dxa" w:w="1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Notificación formal</w:t>
            </w:r>
          </w:p>
        </w:tc>
        <w:tc>
          <w:tcPr>
            <w:tcW w:type="dxa" w:w="30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Convocatoria, acta, deuda, requerimiento</w:t>
            </w:r>
          </w:p>
        </w:tc>
        <w:tc>
          <w:tcPr>
            <w:tcW w:type="dxa" w:w="45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Plantilla, base legal, canal, intento/entrega y evidencia</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Mensaje privado</w:t>
            </w:r>
          </w:p>
        </w:tc>
        <w:tc>
          <w:tcPr>
            <w:tcW w:type="dxa" w:w="30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Consulta propietario-administración</w:t>
            </w:r>
          </w:p>
        </w:tc>
        <w:tc>
          <w:tcPr>
            <w:tcW w:type="dxa" w:w="45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Hilo cerrado y retención definida</w:t>
            </w:r>
          </w:p>
        </w:tc>
      </w:tr>
      <w:tr>
        <w:trPr>
          <w:cantSplit/>
          <w:trHeight w:hRule="atLeast"/>
        </w:trPr>
        <w:tc>
          <w:tcPr>
            <w:tcW w:type="dxa" w:w="1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Comunicado institucional</w:t>
            </w:r>
          </w:p>
        </w:tc>
        <w:tc>
          <w:tcPr>
            <w:tcW w:type="dxa" w:w="30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Presidencia o Junta</w:t>
            </w:r>
          </w:p>
        </w:tc>
        <w:tc>
          <w:tcPr>
            <w:tcW w:type="dxa" w:w="45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Autor y alcance visibles; moderación</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Emergencia</w:t>
            </w:r>
          </w:p>
        </w:tc>
        <w:tc>
          <w:tcPr>
            <w:tcW w:type="dxa" w:w="30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Riesgo para personas o inmueble</w:t>
            </w:r>
          </w:p>
        </w:tc>
        <w:tc>
          <w:tcPr>
            <w:tcW w:type="dxa" w:w="45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Canal múltiple, confirmación, escalado y cierre</w:t>
            </w:r>
          </w:p>
        </w:tc>
      </w:tr>
      <w:tr>
        <w:trPr>
          <w:cantSplit/>
          <w:trHeight w:hRule="atLeast"/>
        </w:trPr>
        <w:tc>
          <w:tcPr>
            <w:tcW w:type="dxa" w:w="1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Encuesta no vinculante</w:t>
            </w:r>
          </w:p>
        </w:tc>
        <w:tc>
          <w:tcPr>
            <w:tcW w:type="dxa" w:w="30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Preferencias y sondeos</w:t>
            </w:r>
          </w:p>
        </w:tc>
        <w:tc>
          <w:tcPr>
            <w:tcW w:type="dxa" w:w="45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Diferenciada de votación legal</w:t>
            </w:r>
          </w:p>
        </w:tc>
      </w:tr>
    </w:tbl>
    <w:p>
      <w:pPr>
        <w:keepLines/>
        <w:spacing w:after="0"/>
      </w:pPr>
    </w:p>
    <w:p>
      <w:bookmarkStart w:id="42" w:name="sec_032"/>
      <w:pPr>
        <w:pStyle w:val="Heading2"/>
        <w:keepLines/>
      </w:pPr>
      <w:r>
        <w:t>10.2 Reglas de privacidad</w:t>
      </w:r>
      <w:bookmarkEnd w:id="42"/>
    </w:p>
    <w:p>
      <w:pPr>
        <w:spacing w:after="60" w:line="271" w:lineRule="auto"/>
        <w:keepLines/>
        <w:numPr>
          <w:ilvl w:val="0"/>
          <w:numId w:val="10"/>
        </w:numPr>
      </w:pPr>
      <w:r>
        <w:rPr>
          <w:rFonts w:ascii="Aptos" w:hAnsi="Aptos" w:eastAsia="Aptos"/>
          <w:color w:val="24323E"/>
          <w:sz w:val="20"/>
        </w:rPr>
        <w:t>No habrá directorio general de teléfonos o correos entre vecinos por defecto.</w:t>
      </w:r>
    </w:p>
    <w:p>
      <w:pPr>
        <w:spacing w:after="60" w:line="271" w:lineRule="auto"/>
        <w:keepLines/>
        <w:numPr>
          <w:ilvl w:val="0"/>
          <w:numId w:val="10"/>
        </w:numPr>
      </w:pPr>
      <w:r>
        <w:rPr>
          <w:rFonts w:ascii="Aptos" w:hAnsi="Aptos" w:eastAsia="Aptos"/>
          <w:color w:val="24323E"/>
          <w:sz w:val="20"/>
        </w:rPr>
        <w:t>La lista de morosos no se convierte en un tablón digital permanente. La difusión se limita a los supuestos y datos legalmente necesarios.</w:t>
      </w:r>
    </w:p>
    <w:p>
      <w:pPr>
        <w:spacing w:after="60" w:line="271" w:lineRule="auto"/>
        <w:keepLines/>
        <w:numPr>
          <w:ilvl w:val="0"/>
          <w:numId w:val="10"/>
        </w:numPr>
      </w:pPr>
      <w:r>
        <w:rPr>
          <w:rFonts w:ascii="Aptos" w:hAnsi="Aptos" w:eastAsia="Aptos"/>
          <w:color w:val="24323E"/>
          <w:sz w:val="20"/>
        </w:rPr>
        <w:t>Las notificaciones masivas ocultan destinatarios y evitan adjuntar documentos con datos de terceros no pertinentes.</w:t>
      </w:r>
    </w:p>
    <w:p>
      <w:pPr>
        <w:spacing w:after="60" w:line="271" w:lineRule="auto"/>
        <w:keepLines/>
        <w:numPr>
          <w:ilvl w:val="0"/>
          <w:numId w:val="10"/>
        </w:numPr>
      </w:pPr>
      <w:r>
        <w:rPr>
          <w:rFonts w:ascii="Aptos" w:hAnsi="Aptos" w:eastAsia="Aptos"/>
          <w:color w:val="24323E"/>
          <w:sz w:val="20"/>
        </w:rPr>
        <w:t>El canal de incidencias permite anonimato frente a otros vecinos, pero no promete anonimato técnico absoluto frente a la plataforma cuando no sea posible.</w:t>
      </w:r>
    </w:p>
    <w:p>
      <w:pPr>
        <w:spacing w:after="60" w:line="271" w:lineRule="auto"/>
        <w:keepLines/>
        <w:numPr>
          <w:ilvl w:val="0"/>
          <w:numId w:val="10"/>
        </w:numPr>
      </w:pPr>
      <w:r>
        <w:rPr>
          <w:rFonts w:ascii="Aptos" w:hAnsi="Aptos" w:eastAsia="Aptos"/>
          <w:color w:val="24323E"/>
          <w:sz w:val="20"/>
        </w:rPr>
        <w:t>Moderación con normas de convivencia, denuncia, bloqueo, conservación probatoria y procedimiento de revisión.</w:t>
      </w:r>
    </w:p>
    <w:p>
      <w:bookmarkStart w:id="43" w:name="sec_033"/>
      <w:pPr>
        <w:pStyle w:val="Heading1"/>
        <w:keepLines/>
      </w:pPr>
      <w:r>
        <w:t>11. Incidencias, mantenimiento, obras y activos</w:t>
      </w:r>
      <w:bookmarkEnd w:id="43"/>
    </w:p>
    <w:p>
      <w:bookmarkStart w:id="44" w:name="sec_034"/>
      <w:pPr>
        <w:pStyle w:val="Heading2"/>
        <w:keepLines/>
      </w:pPr>
      <w:r>
        <w:t>11.1 Gestión de incidencias</w:t>
      </w:r>
      <w:bookmarkEnd w:id="44"/>
    </w:p>
    <w:tbl>
      <w:tblPr>
        <w:tblW w:type="dxa" w:w="9360"/>
        <w:jc w:val="left"/>
        <w:tblLayout w:type="fixed"/>
        <w:tblLook w:firstColumn="1" w:firstRow="1" w:lastColumn="0" w:lastRow="0" w:noHBand="0" w:noVBand="1" w:val="04A0"/>
        <w:tblInd w:w="90" w:type="dxa"/>
        <w:tblBorders>
          <w:top w:val="single" w:sz="0" w:space="0" w:color="FFFFFF"/>
          <w:left w:val="single" w:sz="0" w:space="0" w:color="FFFFFF"/>
          <w:bottom w:val="single" w:sz="0" w:space="0" w:color="FFFFFF"/>
          <w:right w:val="single" w:sz="0" w:space="0" w:color="FFFFFF"/>
        </w:tblBorders>
      </w:tblPr>
      <w:tblGrid>
        <w:gridCol w:w="1872"/>
        <w:gridCol w:w="1872"/>
        <w:gridCol w:w="1872"/>
        <w:gridCol w:w="1872"/>
        <w:gridCol w:w="1872"/>
      </w:tblGrid>
      <w:tr>
        <w:trPr>
          <w:cantSplit/>
          <w:trHeight w:hRule="atLeast"/>
        </w:trPr>
        <w:tc>
          <w:tcPr>
            <w:tcW w:type="dxa" w:w="1872"/>
            <w:tcMar>
              <w:top w:w="150" w:type="dxa"/>
              <w:start w:w="90" w:type="dxa"/>
              <w:bottom w:w="150" w:type="dxa"/>
              <w:end w:w="90" w:type="dxa"/>
            </w:tcMar>
            <w:vAlign w:val="center"/>
            <w:shd w:fill="EAF6F3" w:val="clear"/>
          </w:tcPr>
          <w:p>
            <w:pPr>
              <w:spacing w:before="0" w:after="0" w:line="252" w:lineRule="auto"/>
              <w:jc w:val="center"/>
            </w:pPr>
            <w:r>
              <w:rPr>
                <w:rFonts w:ascii="Aptos" w:hAnsi="Aptos" w:eastAsia="Aptos"/>
                <w:b/>
                <w:i w:val="0"/>
                <w:color w:val="16324F"/>
                <w:sz w:val="18"/>
              </w:rPr>
              <w:t>Alta</w:t>
            </w:r>
          </w:p>
        </w:tc>
        <w:tc>
          <w:tcPr>
            <w:tcW w:type="dxa" w:w="1872"/>
            <w:tcMar>
              <w:top w:w="150" w:type="dxa"/>
              <w:start w:w="90" w:type="dxa"/>
              <w:bottom w:w="150" w:type="dxa"/>
              <w:end w:w="90" w:type="dxa"/>
            </w:tcMar>
            <w:vAlign w:val="center"/>
            <w:shd w:fill="EAF3F7" w:val="clear"/>
          </w:tcPr>
          <w:p>
            <w:pPr>
              <w:spacing w:before="0" w:after="0" w:line="252" w:lineRule="auto"/>
              <w:jc w:val="center"/>
            </w:pPr>
            <w:r>
              <w:rPr>
                <w:rFonts w:ascii="Aptos" w:hAnsi="Aptos" w:eastAsia="Aptos"/>
                <w:b/>
                <w:i w:val="0"/>
                <w:color w:val="16324F"/>
                <w:sz w:val="18"/>
              </w:rPr>
              <w:t>Clasificación</w:t>
            </w:r>
          </w:p>
        </w:tc>
        <w:tc>
          <w:tcPr>
            <w:tcW w:type="dxa" w:w="1872"/>
            <w:tcMar>
              <w:top w:w="150" w:type="dxa"/>
              <w:start w:w="90" w:type="dxa"/>
              <w:bottom w:w="150" w:type="dxa"/>
              <w:end w:w="90" w:type="dxa"/>
            </w:tcMar>
            <w:vAlign w:val="center"/>
            <w:shd w:fill="EAF6F3" w:val="clear"/>
          </w:tcPr>
          <w:p>
            <w:pPr>
              <w:spacing w:before="0" w:after="0" w:line="252" w:lineRule="auto"/>
              <w:jc w:val="center"/>
            </w:pPr>
            <w:r>
              <w:rPr>
                <w:rFonts w:ascii="Aptos" w:hAnsi="Aptos" w:eastAsia="Aptos"/>
                <w:b/>
                <w:i w:val="0"/>
                <w:color w:val="16324F"/>
                <w:sz w:val="18"/>
              </w:rPr>
              <w:t>Asignación</w:t>
            </w:r>
          </w:p>
        </w:tc>
        <w:tc>
          <w:tcPr>
            <w:tcW w:type="dxa" w:w="1872"/>
            <w:tcMar>
              <w:top w:w="150" w:type="dxa"/>
              <w:start w:w="90" w:type="dxa"/>
              <w:bottom w:w="150" w:type="dxa"/>
              <w:end w:w="90" w:type="dxa"/>
            </w:tcMar>
            <w:vAlign w:val="center"/>
            <w:shd w:fill="EAF3F7" w:val="clear"/>
          </w:tcPr>
          <w:p>
            <w:pPr>
              <w:spacing w:before="0" w:after="0" w:line="252" w:lineRule="auto"/>
              <w:jc w:val="center"/>
            </w:pPr>
            <w:r>
              <w:rPr>
                <w:rFonts w:ascii="Aptos" w:hAnsi="Aptos" w:eastAsia="Aptos"/>
                <w:b/>
                <w:i w:val="0"/>
                <w:color w:val="16324F"/>
                <w:sz w:val="18"/>
              </w:rPr>
              <w:t>Intervención</w:t>
            </w:r>
          </w:p>
        </w:tc>
        <w:tc>
          <w:tcPr>
            <w:tcW w:type="dxa" w:w="1872"/>
            <w:tcMar>
              <w:top w:w="150" w:type="dxa"/>
              <w:start w:w="90" w:type="dxa"/>
              <w:bottom w:w="150" w:type="dxa"/>
              <w:end w:w="90" w:type="dxa"/>
            </w:tcMar>
            <w:vAlign w:val="center"/>
            <w:shd w:fill="EAF6F3" w:val="clear"/>
          </w:tcPr>
          <w:p>
            <w:pPr>
              <w:spacing w:before="0" w:after="0" w:line="252" w:lineRule="auto"/>
              <w:jc w:val="center"/>
            </w:pPr>
            <w:r>
              <w:rPr>
                <w:rFonts w:ascii="Aptos" w:hAnsi="Aptos" w:eastAsia="Aptos"/>
                <w:b/>
                <w:i w:val="0"/>
                <w:color w:val="16324F"/>
                <w:sz w:val="18"/>
              </w:rPr>
              <w:t>Validación y cierre</w:t>
            </w:r>
          </w:p>
        </w:tc>
      </w:tr>
    </w:tbl>
    <w:p>
      <w:pPr>
        <w:keepLines/>
        <w:spacing w:before="60" w:after="120" w:line="269" w:lineRule="auto"/>
        <w:jc w:val="center"/>
      </w:pPr>
      <w:r>
        <w:rPr>
          <w:rFonts w:ascii="Aptos" w:hAnsi="Aptos" w:eastAsia="Aptos"/>
          <w:b w:val="0"/>
          <w:i/>
          <w:color w:val="647481"/>
          <w:sz w:val="17"/>
        </w:rPr>
        <w:t>SLA, mensajes, fotos y costes permanecen en un mismo expediente</w:t>
      </w:r>
    </w:p>
    <w:p>
      <w:pPr>
        <w:spacing w:after="60" w:line="271" w:lineRule="auto"/>
        <w:keepLines/>
        <w:numPr>
          <w:ilvl w:val="0"/>
          <w:numId w:val="10"/>
        </w:numPr>
      </w:pPr>
      <w:r>
        <w:rPr>
          <w:rFonts w:ascii="Aptos" w:hAnsi="Aptos" w:eastAsia="Aptos"/>
          <w:color w:val="24323E"/>
          <w:sz w:val="20"/>
        </w:rPr>
        <w:t>Categoría, urgencia, estructura afectada, ubicación, descripción, adjuntos y preferencia de contacto.</w:t>
      </w:r>
    </w:p>
    <w:p>
      <w:pPr>
        <w:spacing w:after="60" w:line="271" w:lineRule="auto"/>
        <w:keepLines/>
        <w:numPr>
          <w:ilvl w:val="0"/>
          <w:numId w:val="10"/>
        </w:numPr>
      </w:pPr>
      <w:r>
        <w:rPr>
          <w:rFonts w:ascii="Aptos" w:hAnsi="Aptos" w:eastAsia="Aptos"/>
          <w:color w:val="24323E"/>
          <w:sz w:val="20"/>
        </w:rPr>
        <w:t>Detección de duplicados sin revelar la identidad de otros denunciantes.</w:t>
      </w:r>
    </w:p>
    <w:p>
      <w:pPr>
        <w:spacing w:after="60" w:line="271" w:lineRule="auto"/>
        <w:keepLines/>
        <w:numPr>
          <w:ilvl w:val="0"/>
          <w:numId w:val="10"/>
        </w:numPr>
      </w:pPr>
      <w:r>
        <w:rPr>
          <w:rFonts w:ascii="Aptos" w:hAnsi="Aptos" w:eastAsia="Aptos"/>
          <w:color w:val="24323E"/>
          <w:sz w:val="20"/>
        </w:rPr>
        <w:t>Estados: recibida, triage, pendiente, asignada, programada, en curso, bloqueada, resuelta, validada y cerrada.</w:t>
      </w:r>
    </w:p>
    <w:p>
      <w:pPr>
        <w:spacing w:after="60" w:line="271" w:lineRule="auto"/>
        <w:keepLines/>
        <w:numPr>
          <w:ilvl w:val="0"/>
          <w:numId w:val="10"/>
        </w:numPr>
      </w:pPr>
      <w:r>
        <w:rPr>
          <w:rFonts w:ascii="Aptos" w:hAnsi="Aptos" w:eastAsia="Aptos"/>
          <w:color w:val="24323E"/>
          <w:sz w:val="20"/>
        </w:rPr>
        <w:t>SLA por tipo y contrato, escalado automático y comunicación al afectado.</w:t>
      </w:r>
    </w:p>
    <w:p>
      <w:pPr>
        <w:spacing w:after="60" w:line="271" w:lineRule="auto"/>
        <w:keepLines/>
        <w:numPr>
          <w:ilvl w:val="0"/>
          <w:numId w:val="10"/>
        </w:numPr>
      </w:pPr>
      <w:r>
        <w:rPr>
          <w:rFonts w:ascii="Aptos" w:hAnsi="Aptos" w:eastAsia="Aptos"/>
          <w:color w:val="24323E"/>
          <w:sz w:val="20"/>
        </w:rPr>
        <w:t>Parte del proveedor con llegada, trabajo, materiales, fotos, firma y conformidad; metadatos mínimos y control de acceso.</w:t>
      </w:r>
    </w:p>
    <w:p>
      <w:bookmarkStart w:id="45" w:name="sec_035"/>
      <w:pPr>
        <w:pStyle w:val="Heading2"/>
        <w:keepLines/>
      </w:pPr>
      <w:r>
        <w:t>11.2 Mantenimiento preventivo y activos</w:t>
      </w:r>
      <w:bookmarkEnd w:id="45"/>
    </w:p>
    <w:p>
      <w:pPr>
        <w:keepLines/>
        <w:spacing w:before="0" w:after="80" w:line="269" w:lineRule="auto"/>
      </w:pPr>
      <w:r>
        <w:rPr>
          <w:rFonts w:ascii="Aptos" w:hAnsi="Aptos" w:eastAsia="Aptos"/>
          <w:b w:val="0"/>
          <w:i w:val="0"/>
          <w:color w:val="24323E"/>
          <w:sz w:val="21"/>
        </w:rPr>
        <w:t>Cada activo común —ascensor, bomba, puerta, extintor, caldera, piscina, cubierta— tendrá ficha, ubicación, fabricante, serie, garantías, manual, contrato, revisiones, inspecciones, coste, incidencias y vida útil estimada.</w:t>
      </w:r>
    </w:p>
    <w:p>
      <w:bookmarkStart w:id="46" w:name="sec_036"/>
      <w:pPr>
        <w:pStyle w:val="Heading2"/>
        <w:keepLines/>
      </w:pPr>
      <w:r>
        <w:t>11.3 Obras y proyectos</w:t>
      </w:r>
      <w:bookmarkEnd w:id="46"/>
    </w:p>
    <w:p>
      <w:pPr>
        <w:spacing w:after="60" w:line="271" w:lineRule="auto"/>
        <w:keepLines/>
        <w:numPr>
          <w:ilvl w:val="0"/>
          <w:numId w:val="10"/>
        </w:numPr>
      </w:pPr>
      <w:r>
        <w:rPr>
          <w:rFonts w:ascii="Aptos" w:hAnsi="Aptos" w:eastAsia="Aptos"/>
          <w:color w:val="24323E"/>
          <w:sz w:val="20"/>
        </w:rPr>
        <w:t>Necesidad, informe técnico, acuerdos, financiación, subvenciones y reparto.</w:t>
      </w:r>
    </w:p>
    <w:p>
      <w:pPr>
        <w:spacing w:after="60" w:line="271" w:lineRule="auto"/>
        <w:keepLines/>
        <w:numPr>
          <w:ilvl w:val="0"/>
          <w:numId w:val="10"/>
        </w:numPr>
      </w:pPr>
      <w:r>
        <w:rPr>
          <w:rFonts w:ascii="Aptos" w:hAnsi="Aptos" w:eastAsia="Aptos"/>
          <w:color w:val="24323E"/>
          <w:sz w:val="20"/>
        </w:rPr>
        <w:t>Solicitud comparable de presupuestos con alcance homogéneo y declaración de conflictos de interés.</w:t>
      </w:r>
    </w:p>
    <w:p>
      <w:pPr>
        <w:spacing w:after="60" w:line="271" w:lineRule="auto"/>
        <w:keepLines/>
        <w:numPr>
          <w:ilvl w:val="0"/>
          <w:numId w:val="10"/>
        </w:numPr>
      </w:pPr>
      <w:r>
        <w:rPr>
          <w:rFonts w:ascii="Aptos" w:hAnsi="Aptos" w:eastAsia="Aptos"/>
          <w:color w:val="24323E"/>
          <w:sz w:val="20"/>
        </w:rPr>
        <w:t>Hitos, certificaciones, desviaciones, cambios de alcance, retenciones, garantías y recepción.</w:t>
      </w:r>
    </w:p>
    <w:p>
      <w:pPr>
        <w:spacing w:after="60" w:line="271" w:lineRule="auto"/>
        <w:keepLines/>
        <w:numPr>
          <w:ilvl w:val="0"/>
          <w:numId w:val="10"/>
        </w:numPr>
      </w:pPr>
      <w:r>
        <w:rPr>
          <w:rFonts w:ascii="Aptos" w:hAnsi="Aptos" w:eastAsia="Aptos"/>
          <w:color w:val="24323E"/>
          <w:sz w:val="20"/>
        </w:rPr>
        <w:t>Portal de transparencia del proyecto con información agregada y documentos filtrados según permiso.</w:t>
      </w:r>
    </w:p>
    <w:p>
      <w:bookmarkStart w:id="47" w:name="sec_037"/>
      <w:pPr>
        <w:pStyle w:val="Heading2"/>
        <w:keepLines/>
      </w:pPr>
      <w:r>
        <w:t>11.4 Seguros y siniestros</w:t>
      </w:r>
      <w:bookmarkEnd w:id="47"/>
    </w:p>
    <w:p>
      <w:pPr>
        <w:spacing w:after="60" w:line="271" w:lineRule="auto"/>
        <w:keepLines/>
        <w:numPr>
          <w:ilvl w:val="0"/>
          <w:numId w:val="10"/>
        </w:numPr>
      </w:pPr>
      <w:r>
        <w:rPr>
          <w:rFonts w:ascii="Aptos" w:hAnsi="Aptos" w:eastAsia="Aptos"/>
          <w:color w:val="24323E"/>
          <w:sz w:val="20"/>
        </w:rPr>
        <w:t>Pólizas, coberturas, capitales, mediador, recibos, renovaciones y documentos.</w:t>
      </w:r>
    </w:p>
    <w:p>
      <w:pPr>
        <w:spacing w:after="60" w:line="271" w:lineRule="auto"/>
        <w:keepLines/>
        <w:numPr>
          <w:ilvl w:val="0"/>
          <w:numId w:val="10"/>
        </w:numPr>
      </w:pPr>
      <w:r>
        <w:rPr>
          <w:rFonts w:ascii="Aptos" w:hAnsi="Aptos" w:eastAsia="Aptos"/>
          <w:color w:val="24323E"/>
          <w:sz w:val="20"/>
        </w:rPr>
        <w:t>Siniestro con cronología, afectados, peritaje, comunicaciones, indemnización, franquicia y reparación.</w:t>
      </w:r>
    </w:p>
    <w:p>
      <w:bookmarkStart w:id="48" w:name="sec_038"/>
      <w:pPr>
        <w:pStyle w:val="Heading1"/>
        <w:keepLines/>
      </w:pPr>
      <w:r>
        <w:t>12. Módulos complementarios</w:t>
      </w:r>
      <w:bookmarkEnd w:id="48"/>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800"/>
        <w:gridCol w:w="3300"/>
        <w:gridCol w:w="4260"/>
      </w:tblGrid>
      <w:tr>
        <w:trPr>
          <w:cantSplit/>
          <w:trHeight w:hRule="atLeast"/>
          <w:tblHeader w:val="true"/>
          <w:cantSplit/>
        </w:trPr>
        <w:tc>
          <w:tcPr>
            <w:tcW w:type="dxa" w:w="18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Módulo</w:t>
            </w:r>
          </w:p>
        </w:tc>
        <w:tc>
          <w:tcPr>
            <w:tcW w:type="dxa" w:w="33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Alcance</w:t>
            </w:r>
          </w:p>
        </w:tc>
        <w:tc>
          <w:tcPr>
            <w:tcW w:type="dxa" w:w="42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Límite de diseño</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Reservas</w:t>
            </w:r>
          </w:p>
        </w:tc>
        <w:tc>
          <w:tcPr>
            <w:tcW w:type="dxa" w:w="33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Piscina, pista, sala, barbacoa, ascensor de mudanzas</w:t>
            </w:r>
          </w:p>
        </w:tc>
        <w:tc>
          <w:tcPr>
            <w:tcW w:type="dxa" w:w="42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Aforo, franjas, depósitos, sanciones aprobadas, invitados y QR opcional</w:t>
            </w:r>
          </w:p>
        </w:tc>
      </w:tr>
      <w:tr>
        <w:trPr>
          <w:cantSplit/>
          <w:trHeight w:hRule="atLeast"/>
        </w:trPr>
        <w:tc>
          <w:tcPr>
            <w:tcW w:type="dxa" w:w="1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Accesos</w:t>
            </w:r>
          </w:p>
        </w:tc>
        <w:tc>
          <w:tcPr>
            <w:tcW w:type="dxa" w:w="33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Llaves, mandos, códigos, credenciales</w:t>
            </w:r>
          </w:p>
        </w:tc>
        <w:tc>
          <w:tcPr>
            <w:tcW w:type="dxa" w:w="42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No registrar movimientos innecesarios; caducidad y revocación</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Consumos</w:t>
            </w:r>
          </w:p>
        </w:tc>
        <w:tc>
          <w:tcPr>
            <w:tcW w:type="dxa" w:w="33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Agua, calefacción, energía o recarga</w:t>
            </w:r>
          </w:p>
        </w:tc>
        <w:tc>
          <w:tcPr>
            <w:tcW w:type="dxa" w:w="42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Lecturas, importación, estimación visible, reparto y anomalías</w:t>
            </w:r>
          </w:p>
        </w:tc>
      </w:tr>
      <w:tr>
        <w:trPr>
          <w:cantSplit/>
          <w:trHeight w:hRule="atLeast"/>
        </w:trPr>
        <w:tc>
          <w:tcPr>
            <w:tcW w:type="dxa" w:w="1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Paquetería</w:t>
            </w:r>
          </w:p>
        </w:tc>
        <w:tc>
          <w:tcPr>
            <w:tcW w:type="dxa" w:w="33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Recepción en conserjería</w:t>
            </w:r>
          </w:p>
        </w:tc>
        <w:tc>
          <w:tcPr>
            <w:tcW w:type="dxa" w:w="42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Dato mínimo, entrega y borrado rápido</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Empleados</w:t>
            </w:r>
          </w:p>
        </w:tc>
        <w:tc>
          <w:tcPr>
            <w:tcW w:type="dxa" w:w="33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Conserje, limpieza, mantenimiento</w:t>
            </w:r>
          </w:p>
        </w:tc>
        <w:tc>
          <w:tcPr>
            <w:tcW w:type="dxa" w:w="42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Espacio separado, permisos laborales y confidencialidad</w:t>
            </w:r>
          </w:p>
        </w:tc>
      </w:tr>
      <w:tr>
        <w:trPr>
          <w:cantSplit/>
          <w:trHeight w:hRule="atLeast"/>
        </w:trPr>
        <w:tc>
          <w:tcPr>
            <w:tcW w:type="dxa" w:w="1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Vivienda turística</w:t>
            </w:r>
          </w:p>
        </w:tc>
        <w:tc>
          <w:tcPr>
            <w:tcW w:type="dxa" w:w="33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Declaraciones, acuerdos, registro de incidencias</w:t>
            </w:r>
          </w:p>
        </w:tc>
        <w:tc>
          <w:tcPr>
            <w:tcW w:type="dxa" w:w="42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Sin vigilancia intrusiva; regla territorial versionada</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Sostenibilidad</w:t>
            </w:r>
          </w:p>
        </w:tc>
        <w:tc>
          <w:tcPr>
            <w:tcW w:type="dxa" w:w="33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Energía, residuos, agua, placas y subvenciones</w:t>
            </w:r>
          </w:p>
        </w:tc>
        <w:tc>
          <w:tcPr>
            <w:tcW w:type="dxa" w:w="42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Datos agregados y objetivos verificables</w:t>
            </w:r>
          </w:p>
        </w:tc>
      </w:tr>
      <w:tr>
        <w:trPr>
          <w:cantSplit/>
          <w:trHeight w:hRule="atLeast"/>
        </w:trPr>
        <w:tc>
          <w:tcPr>
            <w:tcW w:type="dxa" w:w="1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Asistente</w:t>
            </w:r>
          </w:p>
        </w:tc>
        <w:tc>
          <w:tcPr>
            <w:tcW w:type="dxa" w:w="33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Busca documentos, explica saldos y guía trámites</w:t>
            </w:r>
          </w:p>
        </w:tc>
        <w:tc>
          <w:tcPr>
            <w:tcW w:type="dxa" w:w="42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Cita fuentes internas, respeta permisos y no da asesoramiento definitivo</w:t>
            </w:r>
          </w:p>
        </w:tc>
      </w:tr>
    </w:tbl>
    <w:p>
      <w:pPr>
        <w:keepLines/>
        <w:spacing w:after="0"/>
      </w:pPr>
    </w:p>
    <w:p>
      <w:bookmarkStart w:id="49" w:name="sec_039"/>
      <w:pPr>
        <w:pStyle w:val="Heading1"/>
        <w:keepLines/>
      </w:pPr>
      <w:r>
        <w:t>13. Gestión documental y memoria institucional</w:t>
      </w:r>
      <w:bookmarkEnd w:id="49"/>
    </w:p>
    <w:p>
      <w:bookmarkStart w:id="50" w:name="sec_040"/>
      <w:pPr>
        <w:pStyle w:val="Heading2"/>
        <w:keepLines/>
      </w:pPr>
      <w:r>
        <w:t>13.1 Clasificación</w:t>
      </w:r>
      <w:bookmarkEnd w:id="50"/>
    </w:p>
    <w:p>
      <w:pPr>
        <w:spacing w:after="60" w:line="271" w:lineRule="auto"/>
        <w:keepLines/>
        <w:numPr>
          <w:ilvl w:val="0"/>
          <w:numId w:val="10"/>
        </w:numPr>
      </w:pPr>
      <w:r>
        <w:rPr>
          <w:rFonts w:ascii="Aptos" w:hAnsi="Aptos" w:eastAsia="Aptos"/>
          <w:color w:val="24323E"/>
          <w:sz w:val="20"/>
        </w:rPr>
        <w:t>Gobierno: título, estatutos, normas, cargos, convocatorias, representaciones, actas, certificados y acuerdos.</w:t>
      </w:r>
    </w:p>
    <w:p>
      <w:pPr>
        <w:spacing w:after="60" w:line="271" w:lineRule="auto"/>
        <w:keepLines/>
        <w:numPr>
          <w:ilvl w:val="0"/>
          <w:numId w:val="10"/>
        </w:numPr>
      </w:pPr>
      <w:r>
        <w:rPr>
          <w:rFonts w:ascii="Aptos" w:hAnsi="Aptos" w:eastAsia="Aptos"/>
          <w:color w:val="24323E"/>
          <w:sz w:val="20"/>
        </w:rPr>
        <w:t>Economía: presupuestos, facturas, bancos, cierres, impuestos, contratos y deuda.</w:t>
      </w:r>
    </w:p>
    <w:p>
      <w:pPr>
        <w:spacing w:after="60" w:line="271" w:lineRule="auto"/>
        <w:keepLines/>
        <w:numPr>
          <w:ilvl w:val="0"/>
          <w:numId w:val="10"/>
        </w:numPr>
      </w:pPr>
      <w:r>
        <w:rPr>
          <w:rFonts w:ascii="Aptos" w:hAnsi="Aptos" w:eastAsia="Aptos"/>
          <w:color w:val="24323E"/>
          <w:sz w:val="20"/>
        </w:rPr>
        <w:t>Inmueble: planos, ITE/IEE, licencias, inspecciones, manuales, certificados y garantías.</w:t>
      </w:r>
    </w:p>
    <w:p>
      <w:pPr>
        <w:spacing w:after="60" w:line="271" w:lineRule="auto"/>
        <w:keepLines/>
        <w:numPr>
          <w:ilvl w:val="0"/>
          <w:numId w:val="10"/>
        </w:numPr>
      </w:pPr>
      <w:r>
        <w:rPr>
          <w:rFonts w:ascii="Aptos" w:hAnsi="Aptos" w:eastAsia="Aptos"/>
          <w:color w:val="24323E"/>
          <w:sz w:val="20"/>
        </w:rPr>
        <w:t>Operación: incidencias, partes, mantenimientos, obras, seguros y siniestros.</w:t>
      </w:r>
    </w:p>
    <w:p>
      <w:pPr>
        <w:spacing w:after="60" w:line="271" w:lineRule="auto"/>
        <w:keepLines/>
        <w:numPr>
          <w:ilvl w:val="0"/>
          <w:numId w:val="10"/>
        </w:numPr>
      </w:pPr>
      <w:r>
        <w:rPr>
          <w:rFonts w:ascii="Aptos" w:hAnsi="Aptos" w:eastAsia="Aptos"/>
          <w:color w:val="24323E"/>
          <w:sz w:val="20"/>
        </w:rPr>
        <w:t>Privacidad y seguridad: RAT, encargos, análisis, derechos, brechas, auditorías y autorizaciones.</w:t>
      </w:r>
    </w:p>
    <w:p>
      <w:bookmarkStart w:id="51" w:name="sec_041"/>
      <w:pPr>
        <w:pStyle w:val="Heading2"/>
        <w:keepLines/>
      </w:pPr>
      <w:r>
        <w:t>13.2 Propiedades del documento</w:t>
      </w:r>
      <w:bookmarkEnd w:id="51"/>
    </w:p>
    <w:p>
      <w:pPr>
        <w:keepLines/>
        <w:spacing w:before="0" w:after="80" w:line="269" w:lineRule="auto"/>
      </w:pPr>
      <w:r>
        <w:rPr>
          <w:rFonts w:ascii="Aptos" w:hAnsi="Aptos" w:eastAsia="Aptos"/>
          <w:b w:val="0"/>
          <w:i w:val="0"/>
          <w:color w:val="24323E"/>
          <w:sz w:val="21"/>
        </w:rPr>
        <w:t>Tipo, título, versión, ejercicio, fecha, emisor, estructura, unidad si procede, sensibilidad, base de acceso, periodo de retención, hash, firma/sello, estado, documento sustituido y relaciones con acuerdos, pagos o incidencias.</w:t>
      </w:r>
    </w:p>
    <w:p>
      <w:bookmarkStart w:id="52" w:name="sec_042"/>
      <w:pPr>
        <w:pStyle w:val="Heading2"/>
        <w:keepLines/>
      </w:pPr>
      <w:r>
        <w:t>13.3 Controles</w:t>
      </w:r>
      <w:bookmarkEnd w:id="52"/>
    </w:p>
    <w:p>
      <w:pPr>
        <w:spacing w:after="60" w:line="271" w:lineRule="auto"/>
        <w:keepLines/>
        <w:numPr>
          <w:ilvl w:val="0"/>
          <w:numId w:val="10"/>
        </w:numPr>
      </w:pPr>
      <w:r>
        <w:rPr>
          <w:rFonts w:ascii="Aptos" w:hAnsi="Aptos" w:eastAsia="Aptos"/>
          <w:color w:val="24323E"/>
          <w:sz w:val="20"/>
        </w:rPr>
        <w:t>Versiones inmutables; una corrección genera nueva versión y relación de sustitución.</w:t>
      </w:r>
    </w:p>
    <w:p>
      <w:pPr>
        <w:spacing w:after="60" w:line="271" w:lineRule="auto"/>
        <w:keepLines/>
        <w:numPr>
          <w:ilvl w:val="0"/>
          <w:numId w:val="10"/>
        </w:numPr>
      </w:pPr>
      <w:r>
        <w:rPr>
          <w:rFonts w:ascii="Aptos" w:hAnsi="Aptos" w:eastAsia="Aptos"/>
          <w:color w:val="24323E"/>
          <w:sz w:val="20"/>
        </w:rPr>
        <w:t>Vista redactada o resumen cuando un propietario necesita comprobar la gestión sin acceder a datos desproporcionados.</w:t>
      </w:r>
    </w:p>
    <w:p>
      <w:pPr>
        <w:spacing w:after="60" w:line="271" w:lineRule="auto"/>
        <w:keepLines/>
        <w:numPr>
          <w:ilvl w:val="0"/>
          <w:numId w:val="10"/>
        </w:numPr>
      </w:pPr>
      <w:r>
        <w:rPr>
          <w:rFonts w:ascii="Aptos" w:hAnsi="Aptos" w:eastAsia="Aptos"/>
          <w:color w:val="24323E"/>
          <w:sz w:val="20"/>
        </w:rPr>
        <w:t>Descarga marcada y registro de accesos para documentos sensibles; evitar marcas que revelen datos del usuario si no son necesarias.</w:t>
      </w:r>
    </w:p>
    <w:p>
      <w:pPr>
        <w:spacing w:after="60" w:line="271" w:lineRule="auto"/>
        <w:keepLines/>
        <w:numPr>
          <w:ilvl w:val="0"/>
          <w:numId w:val="10"/>
        </w:numPr>
      </w:pPr>
      <w:r>
        <w:rPr>
          <w:rFonts w:ascii="Aptos" w:hAnsi="Aptos" w:eastAsia="Aptos"/>
          <w:color w:val="24323E"/>
          <w:sz w:val="20"/>
        </w:rPr>
        <w:t>Búsqueda por texto con índice segregado por comunidad y permisos aplicados antes de devolver resultados.</w:t>
      </w:r>
    </w:p>
    <w:p>
      <w:pPr>
        <w:spacing w:after="60" w:line="271" w:lineRule="auto"/>
        <w:keepLines/>
        <w:numPr>
          <w:ilvl w:val="0"/>
          <w:numId w:val="10"/>
        </w:numPr>
      </w:pPr>
      <w:r>
        <w:rPr>
          <w:rFonts w:ascii="Aptos" w:hAnsi="Aptos" w:eastAsia="Aptos"/>
          <w:color w:val="24323E"/>
          <w:sz w:val="20"/>
        </w:rPr>
        <w:t>Exportación completa con manifiesto, checksums, metadatos, estructura legible y formatos abiertos además de originales.</w:t>
      </w:r>
    </w:p>
    <w:p>
      <w:bookmarkStart w:id="53" w:name="sec_043"/>
      <w:pPr>
        <w:pStyle w:val="Heading2"/>
        <w:keepLines/>
      </w:pPr>
      <w:r>
        <w:t>13.4 Conservación</w:t>
      </w:r>
      <w:bookmarkEnd w:id="53"/>
    </w:p>
    <w:p>
      <w:pPr>
        <w:keepLines/>
        <w:spacing w:before="0" w:after="80" w:line="269" w:lineRule="auto"/>
      </w:pPr>
      <w:r>
        <w:rPr>
          <w:rFonts w:ascii="Aptos" w:hAnsi="Aptos" w:eastAsia="Aptos"/>
          <w:b w:val="0"/>
          <w:i w:val="0"/>
          <w:color w:val="24323E"/>
          <w:sz w:val="21"/>
        </w:rPr>
        <w:t>No existe un único plazo para todo. Se definirá una política por categoría, finalidad y obligación: por ejemplo, la LPH exige conservar durante cinco años convocatorias, comunicaciones, apoderamientos y demás documentos relevantes de reuniones, sin perjuicio de otros plazos civiles, fiscales, contables, laborales o de defensa de reclamaciones.</w:t>
      </w:r>
    </w:p>
    <w:p>
      <w:bookmarkStart w:id="54" w:name="sec_044"/>
      <w:pPr>
        <w:pStyle w:val="Heading1"/>
        <w:keepLines/>
      </w:pPr>
      <w:r>
        <w:t>14. Cambio de administrador sin cambio de app</w:t>
      </w:r>
      <w:bookmarkEnd w:id="54"/>
    </w:p>
    <w:p>
      <w:pPr>
        <w:keepLines/>
        <w:spacing w:before="0" w:after="80" w:line="269" w:lineRule="auto"/>
      </w:pPr>
      <w:r>
        <w:rPr>
          <w:rFonts w:ascii="Aptos" w:hAnsi="Aptos" w:eastAsia="Aptos"/>
          <w:b w:val="0"/>
          <w:i w:val="0"/>
          <w:color w:val="24323E"/>
          <w:sz w:val="21"/>
        </w:rPr>
        <w:t>Este es el flujo diferenciador y debe tratarse como una ceremonia de seguridad y gobierno, no como una simple modificación de usuario.</w:t>
      </w:r>
    </w:p>
    <w:p>
      <w:bookmarkStart w:id="55" w:name="sec_045"/>
      <w:pPr>
        <w:pStyle w:val="Heading2"/>
        <w:keepLines/>
      </w:pPr>
      <w:r>
        <w:t>14.1 Condiciones previas</w:t>
      </w:r>
      <w:bookmarkEnd w:id="55"/>
    </w:p>
    <w:p>
      <w:pPr>
        <w:spacing w:after="60" w:line="271" w:lineRule="auto"/>
        <w:keepLines/>
        <w:numPr>
          <w:ilvl w:val="0"/>
          <w:numId w:val="10"/>
        </w:numPr>
      </w:pPr>
      <w:r>
        <w:rPr>
          <w:rFonts w:ascii="Aptos" w:hAnsi="Aptos" w:eastAsia="Aptos"/>
          <w:color w:val="24323E"/>
          <w:sz w:val="20"/>
        </w:rPr>
        <w:t>Acuerdo o título habilitante para nombramiento/remoción y fecha efectiva.</w:t>
      </w:r>
    </w:p>
    <w:p>
      <w:pPr>
        <w:spacing w:after="60" w:line="271" w:lineRule="auto"/>
        <w:keepLines/>
        <w:numPr>
          <w:ilvl w:val="0"/>
          <w:numId w:val="10"/>
        </w:numPr>
      </w:pPr>
      <w:r>
        <w:rPr>
          <w:rFonts w:ascii="Aptos" w:hAnsi="Aptos" w:eastAsia="Aptos"/>
          <w:color w:val="24323E"/>
          <w:sz w:val="20"/>
        </w:rPr>
        <w:t>Identidad y representación de quien inicia el proceso; doble validación en casos sensibles.</w:t>
      </w:r>
    </w:p>
    <w:p>
      <w:pPr>
        <w:spacing w:after="60" w:line="271" w:lineRule="auto"/>
        <w:keepLines/>
        <w:numPr>
          <w:ilvl w:val="0"/>
          <w:numId w:val="10"/>
        </w:numPr>
      </w:pPr>
      <w:r>
        <w:rPr>
          <w:rFonts w:ascii="Aptos" w:hAnsi="Aptos" w:eastAsia="Aptos"/>
          <w:color w:val="24323E"/>
          <w:sz w:val="20"/>
        </w:rPr>
        <w:t>Inventario de accesos, integraciones, autorizados bancarios, documentos pendientes y obligaciones de salida.</w:t>
      </w:r>
    </w:p>
    <w:p>
      <w:pPr>
        <w:spacing w:after="60" w:line="271" w:lineRule="auto"/>
        <w:keepLines/>
        <w:numPr>
          <w:ilvl w:val="0"/>
          <w:numId w:val="10"/>
        </w:numPr>
      </w:pPr>
      <w:r>
        <w:rPr>
          <w:rFonts w:ascii="Aptos" w:hAnsi="Aptos" w:eastAsia="Aptos"/>
          <w:color w:val="24323E"/>
          <w:sz w:val="20"/>
        </w:rPr>
        <w:t>Contrato de encargo del tratamiento y condiciones del nuevo profesional antes de habilitar datos.</w:t>
      </w:r>
    </w:p>
    <w:p>
      <w:bookmarkStart w:id="56" w:name="sec_046"/>
      <w:pPr>
        <w:pStyle w:val="Heading2"/>
        <w:keepLines/>
      </w:pPr>
      <w:r>
        <w:t>14.2 Flujo de transición</w:t>
      </w:r>
      <w:bookmarkEnd w:id="56"/>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800"/>
        <w:gridCol w:w="7560"/>
      </w:tblGrid>
      <w:tr>
        <w:trPr>
          <w:cantSplit/>
          <w:trHeight w:hRule="atLeast"/>
          <w:tblHeader w:val="true"/>
          <w:cantSplit/>
        </w:trPr>
        <w:tc>
          <w:tcPr>
            <w:tcW w:type="dxa" w:w="18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Fase</w:t>
            </w:r>
          </w:p>
        </w:tc>
        <w:tc>
          <w:tcPr>
            <w:tcW w:type="dxa" w:w="75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Control</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1. Iniciar</w:t>
            </w:r>
          </w:p>
        </w:tc>
        <w:tc>
          <w:tcPr>
            <w:tcW w:type="dxa" w:w="75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Presidencia/órgano autorizado registra acuerdo, administradores saliente y entrante, fechas y responsables.</w:t>
            </w:r>
          </w:p>
        </w:tc>
      </w:tr>
      <w:tr>
        <w:trPr>
          <w:cantSplit/>
          <w:trHeight w:hRule="atLeast"/>
        </w:trPr>
        <w:tc>
          <w:tcPr>
            <w:tcW w:type="dxa" w:w="1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2. Congelar alcance</w:t>
            </w:r>
          </w:p>
        </w:tc>
        <w:tc>
          <w:tcPr>
            <w:tcW w:type="dxa" w:w="75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Se evita crear nuevas configuraciones de largo plazo; la operación ordinaria continúa bajo reglas definidas.</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3. Inventariar</w:t>
            </w:r>
          </w:p>
        </w:tc>
        <w:tc>
          <w:tcPr>
            <w:tcW w:type="dxa" w:w="75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Checklist automático de saldos, bancos, documentos, llaves, certificados, contratos, litigios y tareas abiertas.</w:t>
            </w:r>
          </w:p>
        </w:tc>
      </w:tr>
      <w:tr>
        <w:trPr>
          <w:cantSplit/>
          <w:trHeight w:hRule="atLeast"/>
        </w:trPr>
        <w:tc>
          <w:tcPr>
            <w:tcW w:type="dxa" w:w="1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4. Entregar</w:t>
            </w:r>
          </w:p>
        </w:tc>
        <w:tc>
          <w:tcPr>
            <w:tcW w:type="dxa" w:w="75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El saliente carga faltantes, responde observaciones y firma el paquete; se conserva evidencia de lo entregado.</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5. Revocar</w:t>
            </w:r>
          </w:p>
        </w:tc>
        <w:tc>
          <w:tcPr>
            <w:tcW w:type="dxa" w:w="75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En la fecha efectiva se terminan sesiones, tokens, API, integraciones y permisos del saliente.</w:t>
            </w:r>
          </w:p>
        </w:tc>
      </w:tr>
      <w:tr>
        <w:trPr>
          <w:cantSplit/>
          <w:trHeight w:hRule="atLeast"/>
        </w:trPr>
        <w:tc>
          <w:tcPr>
            <w:tcW w:type="dxa" w:w="1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6. Incorporar</w:t>
            </w:r>
          </w:p>
        </w:tc>
        <w:tc>
          <w:tcPr>
            <w:tcW w:type="dxa" w:w="75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El entrante acepta encargo, activa MFA, revisa el dossier y declara incidencias o reservas.</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7. Conciliar</w:t>
            </w:r>
          </w:p>
        </w:tc>
        <w:tc>
          <w:tcPr>
            <w:tcW w:type="dxa" w:w="75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Se verifican saldos, bancos, deuda, proveedores, impuestos, calendario y documentos críticos.</w:t>
            </w:r>
          </w:p>
        </w:tc>
      </w:tr>
      <w:tr>
        <w:trPr>
          <w:cantSplit/>
          <w:trHeight w:hRule="atLeast"/>
        </w:trPr>
        <w:tc>
          <w:tcPr>
            <w:tcW w:type="dxa" w:w="1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8. Cerrar</w:t>
            </w:r>
          </w:p>
        </w:tc>
        <w:tc>
          <w:tcPr>
            <w:tcW w:type="dxa" w:w="75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Presidencia valida; se genera acta de transición, manifiesto y registro de accesos residuales/bloqueos.</w:t>
            </w:r>
          </w:p>
        </w:tc>
      </w:tr>
    </w:tbl>
    <w:p>
      <w:pPr>
        <w:keepLines/>
        <w:spacing w:after="0"/>
      </w:pPr>
    </w:p>
    <w:p>
      <w:bookmarkStart w:id="57" w:name="sec_047"/>
      <w:pPr>
        <w:pStyle w:val="Heading2"/>
        <w:keepLines/>
      </w:pPr>
      <w:r>
        <w:t>14.3 Reglas técnicas de salida</w:t>
      </w:r>
      <w:bookmarkEnd w:id="57"/>
    </w:p>
    <w:p>
      <w:pPr>
        <w:spacing w:after="60" w:line="271" w:lineRule="auto"/>
        <w:keepLines/>
        <w:numPr>
          <w:ilvl w:val="0"/>
          <w:numId w:val="10"/>
        </w:numPr>
      </w:pPr>
      <w:r>
        <w:rPr>
          <w:rFonts w:ascii="Aptos" w:hAnsi="Aptos" w:eastAsia="Aptos"/>
          <w:color w:val="24323E"/>
          <w:sz w:val="20"/>
        </w:rPr>
        <w:t>La baja del despacho revoca también a sus empleados, aplicaciones OAuth, claves de API y exportaciones programadas.</w:t>
      </w:r>
    </w:p>
    <w:p>
      <w:pPr>
        <w:spacing w:after="60" w:line="271" w:lineRule="auto"/>
        <w:keepLines/>
        <w:numPr>
          <w:ilvl w:val="0"/>
          <w:numId w:val="10"/>
        </w:numPr>
      </w:pPr>
      <w:r>
        <w:rPr>
          <w:rFonts w:ascii="Aptos" w:hAnsi="Aptos" w:eastAsia="Aptos"/>
          <w:color w:val="24323E"/>
          <w:sz w:val="20"/>
        </w:rPr>
        <w:t>Los datos no se copian a una nueva comunidad; cambia la relación de autorización sobre el mismo tenant lógico.</w:t>
      </w:r>
    </w:p>
    <w:p>
      <w:pPr>
        <w:spacing w:after="60" w:line="271" w:lineRule="auto"/>
        <w:keepLines/>
        <w:numPr>
          <w:ilvl w:val="0"/>
          <w:numId w:val="10"/>
        </w:numPr>
      </w:pPr>
      <w:r>
        <w:rPr>
          <w:rFonts w:ascii="Aptos" w:hAnsi="Aptos" w:eastAsia="Aptos"/>
          <w:color w:val="24323E"/>
          <w:sz w:val="20"/>
        </w:rPr>
        <w:t>El administrador saliente puede conservar únicamente lo estrictamente necesario para responsabilidades, bloqueado y fuera del uso ordinario, según contrato y ley.</w:t>
      </w:r>
    </w:p>
    <w:p>
      <w:pPr>
        <w:spacing w:after="60" w:line="271" w:lineRule="auto"/>
        <w:keepLines/>
        <w:numPr>
          <w:ilvl w:val="0"/>
          <w:numId w:val="10"/>
        </w:numPr>
      </w:pPr>
      <w:r>
        <w:rPr>
          <w:rFonts w:ascii="Aptos" w:hAnsi="Aptos" w:eastAsia="Aptos"/>
          <w:color w:val="24323E"/>
          <w:sz w:val="20"/>
        </w:rPr>
        <w:t>El soporte no puede reinstaurar al saliente por una simple petición: exige proceso de recuperación institucional y evidencia suficiente.</w:t>
      </w:r>
    </w:p>
    <w:p>
      <w:pPr>
        <w:spacing w:after="60" w:line="271" w:lineRule="auto"/>
        <w:keepLines/>
        <w:numPr>
          <w:ilvl w:val="0"/>
          <w:numId w:val="10"/>
        </w:numPr>
      </w:pPr>
      <w:r>
        <w:rPr>
          <w:rFonts w:ascii="Aptos" w:hAnsi="Aptos" w:eastAsia="Aptos"/>
          <w:color w:val="24323E"/>
          <w:sz w:val="20"/>
        </w:rPr>
        <w:t>La continuidad de notificaciones, app y credenciales de vecinos no depende del correo o dominio del despacho.</w:t>
      </w:r>
    </w:p>
    <w:tbl>
      <w:tblPr>
        <w:tblW w:type="dxa" w:w="9360"/>
        <w:jc w:val="left"/>
        <w:tblLayout w:type="fixed"/>
        <w:tblLook w:firstColumn="1" w:firstRow="1" w:lastColumn="0" w:lastRow="0" w:noHBand="0" w:noVBand="1" w:val="04A0"/>
        <w:tblInd w:w="180" w:type="dxa"/>
        <w:tblBorders>
          <w:top w:val="single" w:sz="8" w:space="0" w:color="1D8A79"/>
          <w:left w:val="single" w:sz="8" w:space="0" w:color="1D8A79"/>
          <w:bottom w:val="single" w:sz="8" w:space="0" w:color="1D8A79"/>
          <w:right w:val="single" w:sz="8" w:space="0" w:color="1D8A79"/>
        </w:tblBorders>
      </w:tblPr>
      <w:tblGrid>
        <w:gridCol w:w="9360"/>
      </w:tblGrid>
      <w:tr>
        <w:trPr>
          <w:cantSplit/>
          <w:trHeight w:hRule="atLeast"/>
        </w:trPr>
        <w:tc>
          <w:tcPr>
            <w:tcW w:type="dxa" w:w="9360"/>
            <w:tcMar>
              <w:top w:w="140" w:type="dxa"/>
              <w:start w:w="180" w:type="dxa"/>
              <w:bottom w:w="140" w:type="dxa"/>
              <w:end w:w="180" w:type="dxa"/>
            </w:tcMar>
            <w:vAlign w:val="center"/>
            <w:shd w:fill="EAF6F3" w:val="clear"/>
          </w:tcPr>
          <w:p>
            <w:pPr>
              <w:spacing w:after="0" w:line="271" w:lineRule="auto"/>
            </w:pPr>
            <w:r>
              <w:rPr>
                <w:rFonts w:ascii="Aptos" w:hAnsi="Aptos" w:eastAsia="Aptos"/>
                <w:b/>
                <w:color w:val="1D8A79"/>
                <w:sz w:val="18"/>
              </w:rPr>
              <w:t xml:space="preserve">CRITERIO DE ÉXITO  </w:t>
            </w:r>
            <w:r>
              <w:rPr>
                <w:rFonts w:ascii="Aptos" w:hAnsi="Aptos" w:eastAsia="Aptos"/>
                <w:color w:val="24323E"/>
                <w:sz w:val="20"/>
              </w:rPr>
              <w:t>Una comunidad correctamente configurada debe sustituir al administrador en horas, no en semanas, sin pedir a cada vecino que vuelva a registrarse y sin perder un solo asiento, acta, incidencia o consentimiento.</w:t>
            </w:r>
          </w:p>
        </w:tc>
      </w:tr>
    </w:tbl>
    <w:p>
      <w:pPr>
        <w:keepLines/>
        <w:spacing w:after="0"/>
      </w:pPr>
    </w:p>
    <w:p>
      <w:bookmarkStart w:id="58" w:name="sec_048"/>
      <w:pPr>
        <w:pStyle w:val="Heading1"/>
        <w:keepLines/>
      </w:pPr>
      <w:r>
        <w:t>15. Marco jurídico y de cumplimiento en España</w:t>
      </w:r>
      <w:bookmarkEnd w:id="58"/>
    </w:p>
    <w:p>
      <w:bookmarkStart w:id="59" w:name="sec_049"/>
      <w:pPr>
        <w:pStyle w:val="Heading2"/>
        <w:keepLines/>
      </w:pPr>
      <w:r>
        <w:t>15.1 Normas y criterios de referencia</w:t>
      </w:r>
      <w:bookmarkEnd w:id="59"/>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700"/>
        <w:gridCol w:w="3000"/>
        <w:gridCol w:w="4660"/>
      </w:tblGrid>
      <w:tr>
        <w:trPr>
          <w:cantSplit/>
          <w:trHeight w:hRule="atLeast"/>
          <w:tblHeader w:val="true"/>
          <w:cantSplit/>
        </w:trPr>
        <w:tc>
          <w:tcPr>
            <w:tcW w:type="dxa" w:w="17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Materia</w:t>
            </w:r>
          </w:p>
        </w:tc>
        <w:tc>
          <w:tcPr>
            <w:tcW w:type="dxa" w:w="30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Referencia</w:t>
            </w:r>
          </w:p>
        </w:tc>
        <w:tc>
          <w:tcPr>
            <w:tcW w:type="dxa" w:w="46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Impacto</w:t>
            </w:r>
          </w:p>
        </w:tc>
      </w:tr>
      <w:tr>
        <w:trPr>
          <w:cantSplit/>
          <w:trHeight w:hRule="atLeast"/>
        </w:trPr>
        <w:tc>
          <w:tcPr>
            <w:tcW w:type="dxa" w:w="17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Propiedad horizontal</w:t>
            </w:r>
          </w:p>
        </w:tc>
        <w:tc>
          <w:tcPr>
            <w:tcW w:type="dxa" w:w="30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Ley 49/1960 y normativa autonómica aplicable</w:t>
            </w:r>
          </w:p>
        </w:tc>
        <w:tc>
          <w:tcPr>
            <w:tcW w:type="dxa" w:w="46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Órganos, cuotas, juntas, acuerdos, actas, administrador, documentación, deuda y complejos</w:t>
            </w:r>
          </w:p>
        </w:tc>
      </w:tr>
      <w:tr>
        <w:trPr>
          <w:cantSplit/>
          <w:trHeight w:hRule="atLeast"/>
        </w:trPr>
        <w:tc>
          <w:tcPr>
            <w:tcW w:type="dxa" w:w="17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Protección de datos</w:t>
            </w:r>
          </w:p>
        </w:tc>
        <w:tc>
          <w:tcPr>
            <w:tcW w:type="dxa" w:w="30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RGPD y Ley Orgánica 3/2018</w:t>
            </w:r>
          </w:p>
        </w:tc>
        <w:tc>
          <w:tcPr>
            <w:tcW w:type="dxa" w:w="46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Licitud, información, derechos, encargados, seguridad, brechas, privacidad desde diseño</w:t>
            </w:r>
          </w:p>
        </w:tc>
      </w:tr>
      <w:tr>
        <w:trPr>
          <w:cantSplit/>
          <w:trHeight w:hRule="atLeast"/>
        </w:trPr>
        <w:tc>
          <w:tcPr>
            <w:tcW w:type="dxa" w:w="17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Servicios de confianza</w:t>
            </w:r>
          </w:p>
        </w:tc>
        <w:tc>
          <w:tcPr>
            <w:tcW w:type="dxa" w:w="30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Reglamento eIDAS y Ley 6/2020</w:t>
            </w:r>
          </w:p>
        </w:tc>
        <w:tc>
          <w:tcPr>
            <w:tcW w:type="dxa" w:w="46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Firma, sello, sellado de tiempo y entrega electrónica certificada</w:t>
            </w:r>
          </w:p>
        </w:tc>
      </w:tr>
      <w:tr>
        <w:trPr>
          <w:cantSplit/>
          <w:trHeight w:hRule="atLeast"/>
        </w:trPr>
        <w:tc>
          <w:tcPr>
            <w:tcW w:type="dxa" w:w="17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Pagos</w:t>
            </w:r>
          </w:p>
        </w:tc>
        <w:tc>
          <w:tcPr>
            <w:tcW w:type="dxa" w:w="30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Normativa de servicios de pago y reglas SEPA</w:t>
            </w:r>
          </w:p>
        </w:tc>
        <w:tc>
          <w:tcPr>
            <w:tcW w:type="dxa" w:w="46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Mandatos, adeudos, devoluciones, proveedores regulados y autenticación</w:t>
            </w:r>
          </w:p>
        </w:tc>
      </w:tr>
      <w:tr>
        <w:trPr>
          <w:cantSplit/>
          <w:trHeight w:hRule="atLeast"/>
        </w:trPr>
        <w:tc>
          <w:tcPr>
            <w:tcW w:type="dxa" w:w="17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Consumo y contratación</w:t>
            </w:r>
          </w:p>
        </w:tc>
        <w:tc>
          <w:tcPr>
            <w:tcW w:type="dxa" w:w="30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Normativa de consumidores y contratación electrónica cuando proceda</w:t>
            </w:r>
          </w:p>
        </w:tc>
        <w:tc>
          <w:tcPr>
            <w:tcW w:type="dxa" w:w="46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Información, condiciones, desistimiento y prueba</w:t>
            </w:r>
          </w:p>
        </w:tc>
      </w:tr>
      <w:tr>
        <w:trPr>
          <w:cantSplit/>
          <w:trHeight w:hRule="atLeast"/>
        </w:trPr>
        <w:tc>
          <w:tcPr>
            <w:tcW w:type="dxa" w:w="17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Accesibilidad</w:t>
            </w:r>
          </w:p>
        </w:tc>
        <w:tc>
          <w:tcPr>
            <w:tcW w:type="dxa" w:w="30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WCAG 2.2 AA como objetivo y normativa aplicable al servicio</w:t>
            </w:r>
          </w:p>
        </w:tc>
        <w:tc>
          <w:tcPr>
            <w:tcW w:type="dxa" w:w="46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Diseño usable y no discriminatorio</w:t>
            </w:r>
          </w:p>
        </w:tc>
      </w:tr>
      <w:tr>
        <w:trPr>
          <w:cantSplit/>
          <w:trHeight w:hRule="atLeast"/>
        </w:trPr>
        <w:tc>
          <w:tcPr>
            <w:tcW w:type="dxa" w:w="17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Fiscal, contable, laboral</w:t>
            </w:r>
          </w:p>
        </w:tc>
        <w:tc>
          <w:tcPr>
            <w:tcW w:type="dxa" w:w="30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Normativa específica según actividad</w:t>
            </w:r>
          </w:p>
        </w:tc>
        <w:tc>
          <w:tcPr>
            <w:tcW w:type="dxa" w:w="46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Retención, modelos, libros, empleados y obligaciones</w:t>
            </w:r>
          </w:p>
        </w:tc>
      </w:tr>
    </w:tbl>
    <w:p>
      <w:pPr>
        <w:keepLines/>
        <w:spacing w:after="0"/>
      </w:pPr>
    </w:p>
    <w:p>
      <w:bookmarkStart w:id="60" w:name="sec_050"/>
      <w:pPr>
        <w:pStyle w:val="Heading2"/>
        <w:keepLines/>
      </w:pPr>
      <w:r>
        <w:t>15.2 Correspondencia con la LPH</w:t>
      </w:r>
      <w:bookmarkEnd w:id="60"/>
    </w:p>
    <w:p>
      <w:pPr>
        <w:spacing w:after="60" w:line="271" w:lineRule="auto"/>
        <w:keepLines/>
        <w:numPr>
          <w:ilvl w:val="0"/>
          <w:numId w:val="10"/>
        </w:numPr>
      </w:pPr>
      <w:r>
        <w:rPr>
          <w:rFonts w:ascii="Aptos" w:hAnsi="Aptos" w:eastAsia="Aptos"/>
          <w:color w:val="24323E"/>
          <w:sz w:val="20"/>
        </w:rPr>
        <w:t>La Ley contempla comunidades, subcomunidades, complejos y agrupaciones, lo que justifica una estructura jerárquica flexible.</w:t>
      </w:r>
    </w:p>
    <w:p>
      <w:pPr>
        <w:spacing w:after="60" w:line="271" w:lineRule="auto"/>
        <w:keepLines/>
        <w:numPr>
          <w:ilvl w:val="0"/>
          <w:numId w:val="10"/>
        </w:numPr>
      </w:pPr>
      <w:r>
        <w:rPr>
          <w:rFonts w:ascii="Aptos" w:hAnsi="Aptos" w:eastAsia="Aptos"/>
          <w:color w:val="24323E"/>
          <w:sz w:val="20"/>
        </w:rPr>
        <w:t>La Junta nombra y remueve cargos, aprueba cuentas, presupuestos, obras, estatutos y asuntos de interés general; la plataforma debe reflejar competencias, no sustituirlas.</w:t>
      </w:r>
    </w:p>
    <w:p>
      <w:pPr>
        <w:spacing w:after="60" w:line="271" w:lineRule="auto"/>
        <w:keepLines/>
        <w:numPr>
          <w:ilvl w:val="0"/>
          <w:numId w:val="10"/>
        </w:numPr>
      </w:pPr>
      <w:r>
        <w:rPr>
          <w:rFonts w:ascii="Aptos" w:hAnsi="Aptos" w:eastAsia="Aptos"/>
          <w:color w:val="24323E"/>
          <w:sz w:val="20"/>
        </w:rPr>
        <w:t>El administrador prepara gastos, atiende conservación, ejecuta acuerdos, cobra/paga y puede custodiar documentación; sus permisos deben derivar del mandato vigente.</w:t>
      </w:r>
    </w:p>
    <w:p>
      <w:pPr>
        <w:spacing w:after="60" w:line="271" w:lineRule="auto"/>
        <w:keepLines/>
        <w:numPr>
          <w:ilvl w:val="0"/>
          <w:numId w:val="10"/>
        </w:numPr>
      </w:pPr>
      <w:r>
        <w:rPr>
          <w:rFonts w:ascii="Aptos" w:hAnsi="Aptos" w:eastAsia="Aptos"/>
          <w:color w:val="24323E"/>
          <w:sz w:val="20"/>
        </w:rPr>
        <w:t>Las actas requieren contenido mínimo, firma y conservación; el sistema genera expediente y controles, sin afirmar que sustituye por sí solo el libro diligenciado.</w:t>
      </w:r>
    </w:p>
    <w:p>
      <w:pPr>
        <w:spacing w:after="60" w:line="271" w:lineRule="auto"/>
        <w:keepLines/>
        <w:numPr>
          <w:ilvl w:val="0"/>
          <w:numId w:val="10"/>
        </w:numPr>
      </w:pPr>
      <w:r>
        <w:rPr>
          <w:rFonts w:ascii="Aptos" w:hAnsi="Aptos" w:eastAsia="Aptos"/>
          <w:color w:val="24323E"/>
          <w:sz w:val="20"/>
        </w:rPr>
        <w:t>La gestión de deuda exige trazabilidad del acuerdo de liquidación, desglose y notificación; el módulo monitorio debe producir dossier revisable, no demandas automáticas sin control.</w:t>
      </w:r>
    </w:p>
    <w:p>
      <w:bookmarkStart w:id="61" w:name="sec_051"/>
      <w:pPr>
        <w:pStyle w:val="Heading2"/>
        <w:keepLines/>
      </w:pPr>
      <w:r>
        <w:t>15.3 Decisiones que requieren dictamen antes del lanzamiento</w:t>
      </w:r>
      <w:bookmarkEnd w:id="61"/>
    </w:p>
    <w:p>
      <w:pPr>
        <w:spacing w:after="60" w:line="271" w:lineRule="auto"/>
        <w:keepLines/>
        <w:numPr>
          <w:ilvl w:val="0"/>
          <w:numId w:val="10"/>
        </w:numPr>
      </w:pPr>
      <w:r>
        <w:rPr>
          <w:rFonts w:ascii="Aptos" w:hAnsi="Aptos" w:eastAsia="Aptos"/>
          <w:color w:val="24323E"/>
          <w:sz w:val="20"/>
        </w:rPr>
        <w:t>Validez y condiciones de juntas remotas, híbridas y votos electrónicos por territorio y estatutos.</w:t>
      </w:r>
    </w:p>
    <w:p>
      <w:pPr>
        <w:spacing w:after="60" w:line="271" w:lineRule="auto"/>
        <w:keepLines/>
        <w:numPr>
          <w:ilvl w:val="0"/>
          <w:numId w:val="10"/>
        </w:numPr>
      </w:pPr>
      <w:r>
        <w:rPr>
          <w:rFonts w:ascii="Aptos" w:hAnsi="Aptos" w:eastAsia="Aptos"/>
          <w:color w:val="24323E"/>
          <w:sz w:val="20"/>
        </w:rPr>
        <w:t>Mecanismo de firma y cierre de actas; relación con libro físico/electrónico diligenciado.</w:t>
      </w:r>
    </w:p>
    <w:p>
      <w:pPr>
        <w:spacing w:after="60" w:line="271" w:lineRule="auto"/>
        <w:keepLines/>
        <w:numPr>
          <w:ilvl w:val="0"/>
          <w:numId w:val="10"/>
        </w:numPr>
      </w:pPr>
      <w:r>
        <w:rPr>
          <w:rFonts w:ascii="Aptos" w:hAnsi="Aptos" w:eastAsia="Aptos"/>
          <w:color w:val="24323E"/>
          <w:sz w:val="20"/>
        </w:rPr>
        <w:t>Política exacta de conservación por cada categoría documental y jurisdicción.</w:t>
      </w:r>
    </w:p>
    <w:p>
      <w:pPr>
        <w:spacing w:after="60" w:line="271" w:lineRule="auto"/>
        <w:keepLines/>
        <w:numPr>
          <w:ilvl w:val="0"/>
          <w:numId w:val="10"/>
        </w:numPr>
      </w:pPr>
      <w:r>
        <w:rPr>
          <w:rFonts w:ascii="Aptos" w:hAnsi="Aptos" w:eastAsia="Aptos"/>
          <w:color w:val="24323E"/>
          <w:sz w:val="20"/>
        </w:rPr>
        <w:t>Base jurídica y necesidad de EIPD para funciones opcionales: videovigilancia integrada, analítica avanzada, accesos o IA sobre documentos sensibles.</w:t>
      </w:r>
    </w:p>
    <w:p>
      <w:pPr>
        <w:spacing w:after="60" w:line="271" w:lineRule="auto"/>
        <w:keepLines/>
        <w:numPr>
          <w:ilvl w:val="0"/>
          <w:numId w:val="10"/>
        </w:numPr>
      </w:pPr>
      <w:r>
        <w:rPr>
          <w:rFonts w:ascii="Aptos" w:hAnsi="Aptos" w:eastAsia="Aptos"/>
          <w:color w:val="24323E"/>
          <w:sz w:val="20"/>
        </w:rPr>
        <w:t>Operativa de pagos: rol contractual de la plataforma, prevención de fraude y obligaciones si intermedia fondos.</w:t>
      </w:r>
    </w:p>
    <w:p>
      <w:pPr>
        <w:spacing w:after="60" w:line="271" w:lineRule="auto"/>
        <w:keepLines/>
        <w:numPr>
          <w:ilvl w:val="0"/>
          <w:numId w:val="10"/>
        </w:numPr>
      </w:pPr>
      <w:r>
        <w:rPr>
          <w:rFonts w:ascii="Aptos" w:hAnsi="Aptos" w:eastAsia="Aptos"/>
          <w:color w:val="24323E"/>
          <w:sz w:val="20"/>
        </w:rPr>
        <w:t>Implicaciones fiscales y laborales de cada módulo y de la facturación SaaS a comunidades.</w:t>
      </w:r>
    </w:p>
    <w:tbl>
      <w:tblPr>
        <w:tblW w:type="dxa" w:w="9360"/>
        <w:jc w:val="left"/>
        <w:tblLayout w:type="fixed"/>
        <w:tblLook w:firstColumn="1" w:firstRow="1" w:lastColumn="0" w:lastRow="0" w:noHBand="0" w:noVBand="1" w:val="04A0"/>
        <w:tblInd w:w="180" w:type="dxa"/>
        <w:tblBorders>
          <w:top w:val="single" w:sz="8" w:space="0" w:color="A33A3A"/>
          <w:left w:val="single" w:sz="8" w:space="0" w:color="A33A3A"/>
          <w:bottom w:val="single" w:sz="8" w:space="0" w:color="A33A3A"/>
          <w:right w:val="single" w:sz="8" w:space="0" w:color="A33A3A"/>
        </w:tblBorders>
      </w:tblPr>
      <w:tblGrid>
        <w:gridCol w:w="9360"/>
      </w:tblGrid>
      <w:tr>
        <w:trPr>
          <w:cantSplit/>
          <w:trHeight w:hRule="atLeast"/>
        </w:trPr>
        <w:tc>
          <w:tcPr>
            <w:tcW w:type="dxa" w:w="9360"/>
            <w:tcMar>
              <w:top w:w="140" w:type="dxa"/>
              <w:start w:w="180" w:type="dxa"/>
              <w:bottom w:w="140" w:type="dxa"/>
              <w:end w:w="180" w:type="dxa"/>
            </w:tcMar>
            <w:vAlign w:val="center"/>
            <w:shd w:fill="FCEEEE" w:val="clear"/>
          </w:tcPr>
          <w:p>
            <w:pPr>
              <w:spacing w:after="0" w:line="271" w:lineRule="auto"/>
            </w:pPr>
            <w:r>
              <w:rPr>
                <w:rFonts w:ascii="Aptos" w:hAnsi="Aptos" w:eastAsia="Aptos"/>
                <w:b/>
                <w:color w:val="A33A3A"/>
                <w:sz w:val="18"/>
              </w:rPr>
              <w:t xml:space="preserve">AVISO  </w:t>
            </w:r>
            <w:r>
              <w:rPr>
                <w:rFonts w:ascii="Aptos" w:hAnsi="Aptos" w:eastAsia="Aptos"/>
                <w:color w:val="24323E"/>
                <w:sz w:val="20"/>
              </w:rPr>
              <w:t>El producto debe incorporar asesoría especializada antes del piloto. Este documento describe controles de diseño; no constituye dictamen jurídico.</w:t>
            </w:r>
          </w:p>
        </w:tc>
      </w:tr>
    </w:tbl>
    <w:p>
      <w:pPr>
        <w:keepLines/>
        <w:spacing w:after="0"/>
      </w:pPr>
    </w:p>
    <w:p>
      <w:bookmarkStart w:id="62" w:name="sec_052"/>
      <w:pPr>
        <w:pStyle w:val="Heading1"/>
        <w:keepLines/>
      </w:pPr>
      <w:r>
        <w:t>16. Privacidad y protección de datos desde el diseño</w:t>
      </w:r>
      <w:bookmarkEnd w:id="62"/>
    </w:p>
    <w:p>
      <w:bookmarkStart w:id="63" w:name="sec_053"/>
      <w:pPr>
        <w:pStyle w:val="Heading2"/>
        <w:keepLines/>
      </w:pPr>
      <w:r>
        <w:t>16.1 Reparto de papeles</w:t>
      </w:r>
      <w:bookmarkEnd w:id="63"/>
    </w:p>
    <w:p>
      <w:pPr>
        <w:keepLines/>
        <w:spacing w:before="0" w:after="80" w:line="269" w:lineRule="auto"/>
      </w:pPr>
      <w:r>
        <w:rPr>
          <w:rFonts w:ascii="Aptos" w:hAnsi="Aptos" w:eastAsia="Aptos"/>
          <w:b w:val="0"/>
          <w:i w:val="0"/>
          <w:color w:val="24323E"/>
          <w:sz w:val="21"/>
        </w:rPr>
        <w:t>Como criterio general respaldado por la AEPD, la comunidad es responsable del tratamiento de la gestión comunitaria y el administrador actúa como encargado. La empresa operadora de Comunidad Conecta será normalmente subencargada o encargada, según la relación contractual concreta. Algunas finalidades propias —facturación, seguridad de plataforma o cumplimiento— pueden convertirla en responsable independiente; deben separarse y documentarse.</w:t>
      </w:r>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800"/>
        <w:gridCol w:w="2500"/>
        <w:gridCol w:w="5060"/>
      </w:tblGrid>
      <w:tr>
        <w:trPr>
          <w:cantSplit/>
          <w:trHeight w:hRule="atLeast"/>
          <w:tblHeader w:val="true"/>
          <w:cantSplit/>
        </w:trPr>
        <w:tc>
          <w:tcPr>
            <w:tcW w:type="dxa" w:w="18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Actor</w:t>
            </w:r>
          </w:p>
        </w:tc>
        <w:tc>
          <w:tcPr>
            <w:tcW w:type="dxa" w:w="25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Papel habitual</w:t>
            </w:r>
          </w:p>
        </w:tc>
        <w:tc>
          <w:tcPr>
            <w:tcW w:type="dxa" w:w="50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Obligación de diseño</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Comunidad</w:t>
            </w:r>
          </w:p>
        </w:tc>
        <w:tc>
          <w:tcPr>
            <w:tcW w:type="dxa" w:w="25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Responsable</w:t>
            </w:r>
          </w:p>
        </w:tc>
        <w:tc>
          <w:tcPr>
            <w:tcW w:type="dxa" w:w="50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Decide fines, autoriza encargados, informa, atiende derechos y gobierna accesos</w:t>
            </w:r>
          </w:p>
        </w:tc>
      </w:tr>
      <w:tr>
        <w:trPr>
          <w:cantSplit/>
          <w:trHeight w:hRule="atLeast"/>
        </w:trPr>
        <w:tc>
          <w:tcPr>
            <w:tcW w:type="dxa" w:w="1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Administrador</w:t>
            </w:r>
          </w:p>
        </w:tc>
        <w:tc>
          <w:tcPr>
            <w:tcW w:type="dxa" w:w="25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Encargado</w:t>
            </w:r>
          </w:p>
        </w:tc>
        <w:tc>
          <w:tcPr>
            <w:tcW w:type="dxa" w:w="50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Trata según instrucciones y contrato; devuelve/bloquea al finalizar</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Plataforma</w:t>
            </w:r>
          </w:p>
        </w:tc>
        <w:tc>
          <w:tcPr>
            <w:tcW w:type="dxa" w:w="25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Encargado/subencargado; responsable para fines propios limitados</w:t>
            </w:r>
          </w:p>
        </w:tc>
        <w:tc>
          <w:tcPr>
            <w:tcW w:type="dxa" w:w="50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Contrato art. 28, seguridad, soporte, subencargados, portabilidad y separación de finalidades</w:t>
            </w:r>
          </w:p>
        </w:tc>
      </w:tr>
      <w:tr>
        <w:trPr>
          <w:cantSplit/>
          <w:trHeight w:hRule="atLeast"/>
        </w:trPr>
        <w:tc>
          <w:tcPr>
            <w:tcW w:type="dxa" w:w="1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Proveedor técnico</w:t>
            </w:r>
          </w:p>
        </w:tc>
        <w:tc>
          <w:tcPr>
            <w:tcW w:type="dxa" w:w="25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Subencargado</w:t>
            </w:r>
          </w:p>
        </w:tc>
        <w:tc>
          <w:tcPr>
            <w:tcW w:type="dxa" w:w="50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Aprobación, garantías, localización, acceso mínimo y lista actualizada</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Proveedor de la finca</w:t>
            </w:r>
          </w:p>
        </w:tc>
        <w:tc>
          <w:tcPr>
            <w:tcW w:type="dxa" w:w="25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Encargado, destinatario o tercero según servicio</w:t>
            </w:r>
          </w:p>
        </w:tc>
        <w:tc>
          <w:tcPr>
            <w:tcW w:type="dxa" w:w="50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Evaluación caso a caso y acceso por expediente</w:t>
            </w:r>
          </w:p>
        </w:tc>
      </w:tr>
    </w:tbl>
    <w:p>
      <w:pPr>
        <w:keepLines/>
        <w:spacing w:after="0"/>
      </w:pPr>
    </w:p>
    <w:p>
      <w:bookmarkStart w:id="64" w:name="sec_054"/>
      <w:pPr>
        <w:pStyle w:val="Heading2"/>
        <w:keepLines/>
      </w:pPr>
      <w:r>
        <w:t>16.2 Inventario inicial de tratamientos</w:t>
      </w:r>
      <w:bookmarkEnd w:id="64"/>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750"/>
        <w:gridCol w:w="2850"/>
        <w:gridCol w:w="2700"/>
        <w:gridCol w:w="2060"/>
      </w:tblGrid>
      <w:tr>
        <w:trPr>
          <w:cantSplit/>
          <w:trHeight w:hRule="atLeast"/>
          <w:tblHeader w:val="true"/>
          <w:cantSplit/>
        </w:trPr>
        <w:tc>
          <w:tcPr>
            <w:tcW w:type="dxa" w:w="175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Tratamiento</w:t>
            </w:r>
          </w:p>
        </w:tc>
        <w:tc>
          <w:tcPr>
            <w:tcW w:type="dxa" w:w="285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Datos</w:t>
            </w:r>
          </w:p>
        </w:tc>
        <w:tc>
          <w:tcPr>
            <w:tcW w:type="dxa" w:w="27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Base a validar</w:t>
            </w:r>
          </w:p>
        </w:tc>
        <w:tc>
          <w:tcPr>
            <w:tcW w:type="dxa" w:w="20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Retención</w:t>
            </w:r>
          </w:p>
        </w:tc>
      </w:tr>
      <w:tr>
        <w:trPr>
          <w:cantSplit/>
          <w:trHeight w:hRule="atLeast"/>
        </w:trPr>
        <w:tc>
          <w:tcPr>
            <w:tcW w:type="dxa" w:w="17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Gestión de propietarios</w:t>
            </w:r>
          </w:p>
        </w:tc>
        <w:tc>
          <w:tcPr>
            <w:tcW w:type="dxa" w:w="28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Identidad, contacto, unidad, coeficiente, saldo</w:t>
            </w:r>
          </w:p>
        </w:tc>
        <w:tc>
          <w:tcPr>
            <w:tcW w:type="dxa" w:w="27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Obligación legal/interés contractual según caso</w:t>
            </w:r>
          </w:p>
        </w:tc>
        <w:tc>
          <w:tcPr>
            <w:tcW w:type="dxa" w:w="20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Mientras relación + bloqueos legales</w:t>
            </w:r>
          </w:p>
        </w:tc>
      </w:tr>
      <w:tr>
        <w:trPr>
          <w:cantSplit/>
          <w:trHeight w:hRule="atLeast"/>
        </w:trPr>
        <w:tc>
          <w:tcPr>
            <w:tcW w:type="dxa" w:w="17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Juntas</w:t>
            </w:r>
          </w:p>
        </w:tc>
        <w:tc>
          <w:tcPr>
            <w:tcW w:type="dxa" w:w="28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Asistencia, representación, voto, actas</w:t>
            </w:r>
          </w:p>
        </w:tc>
        <w:tc>
          <w:tcPr>
            <w:tcW w:type="dxa" w:w="27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LPH / obligación legal</w:t>
            </w:r>
          </w:p>
        </w:tc>
        <w:tc>
          <w:tcPr>
            <w:tcW w:type="dxa" w:w="20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Actas duraderas; documentación asociada al menos según plazo legal aplicable</w:t>
            </w:r>
          </w:p>
        </w:tc>
      </w:tr>
      <w:tr>
        <w:trPr>
          <w:cantSplit/>
          <w:trHeight w:hRule="atLeast"/>
        </w:trPr>
        <w:tc>
          <w:tcPr>
            <w:tcW w:type="dxa" w:w="17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Economía</w:t>
            </w:r>
          </w:p>
        </w:tc>
        <w:tc>
          <w:tcPr>
            <w:tcW w:type="dxa" w:w="28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Cobros, IBAN tokenizado, deuda, facturas</w:t>
            </w:r>
          </w:p>
        </w:tc>
        <w:tc>
          <w:tcPr>
            <w:tcW w:type="dxa" w:w="27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Obligación legal y gestión</w:t>
            </w:r>
          </w:p>
        </w:tc>
        <w:tc>
          <w:tcPr>
            <w:tcW w:type="dxa" w:w="20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Fiscal/contable/civil según categoría</w:t>
            </w:r>
          </w:p>
        </w:tc>
      </w:tr>
      <w:tr>
        <w:trPr>
          <w:cantSplit/>
          <w:trHeight w:hRule="atLeast"/>
        </w:trPr>
        <w:tc>
          <w:tcPr>
            <w:tcW w:type="dxa" w:w="17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Incidencias</w:t>
            </w:r>
          </w:p>
        </w:tc>
        <w:tc>
          <w:tcPr>
            <w:tcW w:type="dxa" w:w="28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Contacto, ubicación, fotos, mensajes</w:t>
            </w:r>
          </w:p>
        </w:tc>
        <w:tc>
          <w:tcPr>
            <w:tcW w:type="dxa" w:w="27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Gestión comunitaria</w:t>
            </w:r>
          </w:p>
        </w:tc>
        <w:tc>
          <w:tcPr>
            <w:tcW w:type="dxa" w:w="20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Hasta cierre + reclamaciones; depuración de adjuntos</w:t>
            </w:r>
          </w:p>
        </w:tc>
      </w:tr>
      <w:tr>
        <w:trPr>
          <w:cantSplit/>
          <w:trHeight w:hRule="atLeast"/>
        </w:trPr>
        <w:tc>
          <w:tcPr>
            <w:tcW w:type="dxa" w:w="17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Comunicaciones</w:t>
            </w:r>
          </w:p>
        </w:tc>
        <w:tc>
          <w:tcPr>
            <w:tcW w:type="dxa" w:w="28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Canal, entrega, preferencias</w:t>
            </w:r>
          </w:p>
        </w:tc>
        <w:tc>
          <w:tcPr>
            <w:tcW w:type="dxa" w:w="27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Obligación, interés legítimo o consentimiento según finalidad</w:t>
            </w:r>
          </w:p>
        </w:tc>
        <w:tc>
          <w:tcPr>
            <w:tcW w:type="dxa" w:w="20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Según evidencia y finalidad</w:t>
            </w:r>
          </w:p>
        </w:tc>
      </w:tr>
      <w:tr>
        <w:trPr>
          <w:cantSplit/>
          <w:trHeight w:hRule="atLeast"/>
        </w:trPr>
        <w:tc>
          <w:tcPr>
            <w:tcW w:type="dxa" w:w="17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Videovigilancia</w:t>
            </w:r>
          </w:p>
        </w:tc>
        <w:tc>
          <w:tcPr>
            <w:tcW w:type="dxa" w:w="28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Imágenes</w:t>
            </w:r>
          </w:p>
        </w:tc>
        <w:tc>
          <w:tcPr>
            <w:tcW w:type="dxa" w:w="27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Interés público/legítimo y acuerdo, según normativa</w:t>
            </w:r>
          </w:p>
        </w:tc>
        <w:tc>
          <w:tcPr>
            <w:tcW w:type="dxa" w:w="20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Plazo estricto; módulo separado</w:t>
            </w:r>
          </w:p>
        </w:tc>
      </w:tr>
      <w:tr>
        <w:trPr>
          <w:cantSplit/>
          <w:trHeight w:hRule="atLeast"/>
        </w:trPr>
        <w:tc>
          <w:tcPr>
            <w:tcW w:type="dxa" w:w="17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Seguridad</w:t>
            </w:r>
          </w:p>
        </w:tc>
        <w:tc>
          <w:tcPr>
            <w:tcW w:type="dxa" w:w="28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IP, dispositivo, eventos y alertas</w:t>
            </w:r>
          </w:p>
        </w:tc>
        <w:tc>
          <w:tcPr>
            <w:tcW w:type="dxa" w:w="27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Interés legítimo/obligación de seguridad</w:t>
            </w:r>
          </w:p>
        </w:tc>
        <w:tc>
          <w:tcPr>
            <w:tcW w:type="dxa" w:w="20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Plazo proporcionado y escalonado</w:t>
            </w:r>
          </w:p>
        </w:tc>
      </w:tr>
      <w:tr>
        <w:trPr>
          <w:cantSplit/>
          <w:trHeight w:hRule="atLeast"/>
        </w:trPr>
        <w:tc>
          <w:tcPr>
            <w:tcW w:type="dxa" w:w="17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Soporte</w:t>
            </w:r>
          </w:p>
        </w:tc>
        <w:tc>
          <w:tcPr>
            <w:tcW w:type="dxa" w:w="28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Conversación, evidencia y acceso temporal</w:t>
            </w:r>
          </w:p>
        </w:tc>
        <w:tc>
          <w:tcPr>
            <w:tcW w:type="dxa" w:w="27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Contrato e interés legítimo</w:t>
            </w:r>
          </w:p>
        </w:tc>
        <w:tc>
          <w:tcPr>
            <w:tcW w:type="dxa" w:w="20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Según ticket y responsabilidad</w:t>
            </w:r>
          </w:p>
        </w:tc>
      </w:tr>
    </w:tbl>
    <w:p>
      <w:pPr>
        <w:keepLines/>
        <w:spacing w:after="0"/>
      </w:pPr>
    </w:p>
    <w:p>
      <w:bookmarkStart w:id="65" w:name="sec_055"/>
      <w:pPr>
        <w:pStyle w:val="Heading2"/>
        <w:keepLines/>
      </w:pPr>
      <w:r>
        <w:t>16.3 Controles obligatorios</w:t>
      </w:r>
      <w:bookmarkEnd w:id="65"/>
    </w:p>
    <w:p>
      <w:pPr>
        <w:spacing w:after="60" w:line="271" w:lineRule="auto"/>
        <w:keepLines/>
        <w:numPr>
          <w:ilvl w:val="0"/>
          <w:numId w:val="10"/>
        </w:numPr>
      </w:pPr>
      <w:r>
        <w:rPr>
          <w:rFonts w:ascii="Aptos" w:hAnsi="Aptos" w:eastAsia="Aptos"/>
          <w:color w:val="24323E"/>
          <w:sz w:val="20"/>
        </w:rPr>
        <w:t>Registro de actividades de tratamiento asistido y exportable, con responsable, fines, categorías, destinatarios, transferencias, retención y medidas.</w:t>
      </w:r>
    </w:p>
    <w:p>
      <w:pPr>
        <w:spacing w:after="60" w:line="271" w:lineRule="auto"/>
        <w:keepLines/>
        <w:numPr>
          <w:ilvl w:val="0"/>
          <w:numId w:val="10"/>
        </w:numPr>
      </w:pPr>
      <w:r>
        <w:rPr>
          <w:rFonts w:ascii="Aptos" w:hAnsi="Aptos" w:eastAsia="Aptos"/>
          <w:color w:val="24323E"/>
          <w:sz w:val="20"/>
        </w:rPr>
        <w:t>Información por capas en cada punto de recogida; textos versionados y evidencia de la versión mostrada.</w:t>
      </w:r>
    </w:p>
    <w:p>
      <w:pPr>
        <w:spacing w:after="60" w:line="271" w:lineRule="auto"/>
        <w:keepLines/>
        <w:numPr>
          <w:ilvl w:val="0"/>
          <w:numId w:val="10"/>
        </w:numPr>
      </w:pPr>
      <w:r>
        <w:rPr>
          <w:rFonts w:ascii="Aptos" w:hAnsi="Aptos" w:eastAsia="Aptos"/>
          <w:color w:val="24323E"/>
          <w:sz w:val="20"/>
        </w:rPr>
        <w:t>Centro de derechos: acceso, rectificación, supresión, oposición, limitación y portabilidad; identidad, plazo, decisiones y evidencias.</w:t>
      </w:r>
    </w:p>
    <w:p>
      <w:pPr>
        <w:spacing w:after="60" w:line="271" w:lineRule="auto"/>
        <w:keepLines/>
        <w:numPr>
          <w:ilvl w:val="0"/>
          <w:numId w:val="10"/>
        </w:numPr>
      </w:pPr>
      <w:r>
        <w:rPr>
          <w:rFonts w:ascii="Aptos" w:hAnsi="Aptos" w:eastAsia="Aptos"/>
          <w:color w:val="24323E"/>
          <w:sz w:val="20"/>
        </w:rPr>
        <w:t>Minimización por defecto: campos opcionales, ocultación, alias, redacción documental y agregación de informes.</w:t>
      </w:r>
    </w:p>
    <w:p>
      <w:pPr>
        <w:spacing w:after="60" w:line="271" w:lineRule="auto"/>
        <w:keepLines/>
        <w:numPr>
          <w:ilvl w:val="0"/>
          <w:numId w:val="10"/>
        </w:numPr>
      </w:pPr>
      <w:r>
        <w:rPr>
          <w:rFonts w:ascii="Aptos" w:hAnsi="Aptos" w:eastAsia="Aptos"/>
          <w:color w:val="24323E"/>
          <w:sz w:val="20"/>
        </w:rPr>
        <w:t>Matriz de conservación automatizada con bloqueo previo a supresión cuando exista obligación o reclamación.</w:t>
      </w:r>
    </w:p>
    <w:p>
      <w:pPr>
        <w:spacing w:after="60" w:line="271" w:lineRule="auto"/>
        <w:keepLines/>
        <w:numPr>
          <w:ilvl w:val="0"/>
          <w:numId w:val="10"/>
        </w:numPr>
      </w:pPr>
      <w:r>
        <w:rPr>
          <w:rFonts w:ascii="Aptos" w:hAnsi="Aptos" w:eastAsia="Aptos"/>
          <w:color w:val="24323E"/>
          <w:sz w:val="20"/>
        </w:rPr>
        <w:t>Gestión de subencargados, regiones, transferencias internacionales y garantías contractuales.</w:t>
      </w:r>
    </w:p>
    <w:p>
      <w:pPr>
        <w:spacing w:after="60" w:line="271" w:lineRule="auto"/>
        <w:keepLines/>
        <w:numPr>
          <w:ilvl w:val="0"/>
          <w:numId w:val="10"/>
        </w:numPr>
      </w:pPr>
      <w:r>
        <w:rPr>
          <w:rFonts w:ascii="Aptos" w:hAnsi="Aptos" w:eastAsia="Aptos"/>
          <w:color w:val="24323E"/>
          <w:sz w:val="20"/>
        </w:rPr>
        <w:t>Análisis de riesgos siempre; EIPD cuando el riesgo y la función lo exijan, especialmente antes de módulos invasivos o a gran escala.</w:t>
      </w:r>
    </w:p>
    <w:p>
      <w:pPr>
        <w:spacing w:after="60" w:line="271" w:lineRule="auto"/>
        <w:keepLines/>
        <w:numPr>
          <w:ilvl w:val="0"/>
          <w:numId w:val="10"/>
        </w:numPr>
      </w:pPr>
      <w:r>
        <w:rPr>
          <w:rFonts w:ascii="Aptos" w:hAnsi="Aptos" w:eastAsia="Aptos"/>
          <w:color w:val="24323E"/>
          <w:sz w:val="20"/>
        </w:rPr>
        <w:t>Prohibición contractual de reutilizar datos comunitarios para publicidad, entrenamiento general de IA o venta de perfiles.</w:t>
      </w:r>
    </w:p>
    <w:p>
      <w:bookmarkStart w:id="66" w:name="sec_056"/>
      <w:pPr>
        <w:pStyle w:val="Heading2"/>
        <w:keepLines/>
      </w:pPr>
      <w:r>
        <w:t>16.4 Casos especialmente sensibles</w:t>
      </w:r>
      <w:bookmarkEnd w:id="66"/>
    </w:p>
    <w:p>
      <w:pPr>
        <w:spacing w:after="60" w:line="271" w:lineRule="auto"/>
        <w:keepLines/>
        <w:numPr>
          <w:ilvl w:val="0"/>
          <w:numId w:val="10"/>
        </w:numPr>
      </w:pPr>
      <w:r>
        <w:rPr>
          <w:rFonts w:ascii="Aptos" w:hAnsi="Aptos" w:eastAsia="Aptos"/>
          <w:color w:val="24323E"/>
          <w:sz w:val="20"/>
        </w:rPr>
        <w:t>Morosidad: acceso privado y segmentado; la exposición solo bajo el supuesto legal, con intento previo y dato mínimo.</w:t>
      </w:r>
    </w:p>
    <w:p>
      <w:pPr>
        <w:spacing w:after="60" w:line="271" w:lineRule="auto"/>
        <w:keepLines/>
        <w:numPr>
          <w:ilvl w:val="0"/>
          <w:numId w:val="10"/>
        </w:numPr>
      </w:pPr>
      <w:r>
        <w:rPr>
          <w:rFonts w:ascii="Aptos" w:hAnsi="Aptos" w:eastAsia="Aptos"/>
          <w:color w:val="24323E"/>
          <w:sz w:val="20"/>
        </w:rPr>
        <w:t>Nóminas: propietarios pueden conocer costes pertinentes, no acceder automáticamente a documentos con domicilio, cuenta, salud o afiliación.</w:t>
      </w:r>
    </w:p>
    <w:p>
      <w:pPr>
        <w:spacing w:after="60" w:line="271" w:lineRule="auto"/>
        <w:keepLines/>
        <w:numPr>
          <w:ilvl w:val="0"/>
          <w:numId w:val="10"/>
        </w:numPr>
      </w:pPr>
      <w:r>
        <w:rPr>
          <w:rFonts w:ascii="Aptos" w:hAnsi="Aptos" w:eastAsia="Aptos"/>
          <w:color w:val="24323E"/>
          <w:sz w:val="20"/>
        </w:rPr>
        <w:t>Documentos de identidad: no pedir copia por rutina si basta verificación menos intrusiva.</w:t>
      </w:r>
    </w:p>
    <w:p>
      <w:pPr>
        <w:spacing w:after="60" w:line="271" w:lineRule="auto"/>
        <w:keepLines/>
        <w:numPr>
          <w:ilvl w:val="0"/>
          <w:numId w:val="10"/>
        </w:numPr>
      </w:pPr>
      <w:r>
        <w:rPr>
          <w:rFonts w:ascii="Aptos" w:hAnsi="Aptos" w:eastAsia="Aptos"/>
          <w:color w:val="24323E"/>
          <w:sz w:val="20"/>
        </w:rPr>
        <w:t>Fotos de incidencias: advertir para no captar interiores, menores, matrículas, correspondencia o personas innecesarias; redacción y caducidad.</w:t>
      </w:r>
    </w:p>
    <w:p>
      <w:pPr>
        <w:spacing w:after="60" w:line="271" w:lineRule="auto"/>
        <w:keepLines/>
        <w:numPr>
          <w:ilvl w:val="0"/>
          <w:numId w:val="10"/>
        </w:numPr>
      </w:pPr>
      <w:r>
        <w:rPr>
          <w:rFonts w:ascii="Aptos" w:hAnsi="Aptos" w:eastAsia="Aptos"/>
          <w:color w:val="24323E"/>
          <w:sz w:val="20"/>
        </w:rPr>
        <w:t>Videovigilancia: acuerdo, cartelería, cámaras en zonas permitidas, acceso restringido y sin incrustar vídeo en el panel general.</w:t>
      </w:r>
    </w:p>
    <w:p>
      <w:bookmarkStart w:id="67" w:name="sec_057"/>
      <w:pPr>
        <w:pStyle w:val="Heading1"/>
        <w:keepLines/>
      </w:pPr>
      <w:r>
        <w:t>17. Seguridad, fraude y resiliencia</w:t>
      </w:r>
      <w:bookmarkEnd w:id="67"/>
    </w:p>
    <w:p>
      <w:bookmarkStart w:id="68" w:name="sec_058"/>
      <w:pPr>
        <w:pStyle w:val="Heading2"/>
        <w:keepLines/>
      </w:pPr>
      <w:r>
        <w:t>17.1 Modelo de amenazas</w:t>
      </w:r>
      <w:bookmarkEnd w:id="68"/>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2500"/>
        <w:gridCol w:w="6860"/>
      </w:tblGrid>
      <w:tr>
        <w:trPr>
          <w:cantSplit/>
          <w:trHeight w:hRule="atLeast"/>
          <w:tblHeader w:val="true"/>
          <w:cantSplit/>
        </w:trPr>
        <w:tc>
          <w:tcPr>
            <w:tcW w:type="dxa" w:w="25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Riesgo</w:t>
            </w:r>
          </w:p>
        </w:tc>
        <w:tc>
          <w:tcPr>
            <w:tcW w:type="dxa" w:w="68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Controles prioritarios</w:t>
            </w:r>
          </w:p>
        </w:tc>
      </w:tr>
      <w:tr>
        <w:trPr>
          <w:cantSplit/>
          <w:trHeight w:hRule="atLeast"/>
        </w:trPr>
        <w:tc>
          <w:tcPr>
            <w:tcW w:type="dxa" w:w="25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Cuenta comprometida</w:t>
            </w:r>
          </w:p>
        </w:tc>
        <w:tc>
          <w:tcPr>
            <w:tcW w:type="dxa" w:w="68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MFA, passkeys, detección de riesgo, revocación y recuperación institucional</w:t>
            </w:r>
          </w:p>
        </w:tc>
      </w:tr>
      <w:tr>
        <w:trPr>
          <w:cantSplit/>
          <w:trHeight w:hRule="atLeast"/>
        </w:trPr>
        <w:tc>
          <w:tcPr>
            <w:tcW w:type="dxa" w:w="25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Empleado curioso</w:t>
            </w:r>
          </w:p>
        </w:tc>
        <w:tc>
          <w:tcPr>
            <w:tcW w:type="dxa" w:w="68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Aislamiento por tenant, permisos por cartera, alertas de acceso y sanción contractual</w:t>
            </w:r>
          </w:p>
        </w:tc>
      </w:tr>
      <w:tr>
        <w:trPr>
          <w:cantSplit/>
          <w:trHeight w:hRule="atLeast"/>
        </w:trPr>
        <w:tc>
          <w:tcPr>
            <w:tcW w:type="dxa" w:w="25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Cambio fraudulento de IBAN</w:t>
            </w:r>
          </w:p>
        </w:tc>
        <w:tc>
          <w:tcPr>
            <w:tcW w:type="dxa" w:w="68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Verificación fuera de banda, doble aprobación, demora y alerta al proveedor conocido</w:t>
            </w:r>
          </w:p>
        </w:tc>
      </w:tr>
      <w:tr>
        <w:trPr>
          <w:cantSplit/>
          <w:trHeight w:hRule="atLeast"/>
        </w:trPr>
        <w:tc>
          <w:tcPr>
            <w:tcW w:type="dxa" w:w="25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Administrador saliente</w:t>
            </w:r>
          </w:p>
        </w:tc>
        <w:tc>
          <w:tcPr>
            <w:tcW w:type="dxa" w:w="68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Fecha efectiva, revocación completa, bloqueo de tokens y manifiesto</w:t>
            </w:r>
          </w:p>
        </w:tc>
      </w:tr>
      <w:tr>
        <w:trPr>
          <w:cantSplit/>
          <w:trHeight w:hRule="atLeast"/>
        </w:trPr>
        <w:tc>
          <w:tcPr>
            <w:tcW w:type="dxa" w:w="25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Exportación masiva</w:t>
            </w:r>
          </w:p>
        </w:tc>
        <w:tc>
          <w:tcPr>
            <w:tcW w:type="dxa" w:w="68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Permiso específico, doble control, motivo, cifrado, caducidad y registro</w:t>
            </w:r>
          </w:p>
        </w:tc>
      </w:tr>
      <w:tr>
        <w:trPr>
          <w:cantSplit/>
          <w:trHeight w:hRule="atLeast"/>
        </w:trPr>
        <w:tc>
          <w:tcPr>
            <w:tcW w:type="dxa" w:w="25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Ransomware / pérdida</w:t>
            </w:r>
          </w:p>
        </w:tc>
        <w:tc>
          <w:tcPr>
            <w:tcW w:type="dxa" w:w="68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Copias inmutables, restauración probada, segregación de credenciales y plan de continuidad</w:t>
            </w:r>
          </w:p>
        </w:tc>
      </w:tr>
      <w:tr>
        <w:trPr>
          <w:cantSplit/>
          <w:trHeight w:hRule="atLeast"/>
        </w:trPr>
        <w:tc>
          <w:tcPr>
            <w:tcW w:type="dxa" w:w="25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Fuga entre comunidades</w:t>
            </w:r>
          </w:p>
        </w:tc>
        <w:tc>
          <w:tcPr>
            <w:tcW w:type="dxa" w:w="68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Tenant ID obligatorio, RLS, pruebas negativas, cachés y búsquedas segregadas</w:t>
            </w:r>
          </w:p>
        </w:tc>
      </w:tr>
      <w:tr>
        <w:trPr>
          <w:cantSplit/>
          <w:trHeight w:hRule="atLeast"/>
        </w:trPr>
        <w:tc>
          <w:tcPr>
            <w:tcW w:type="dxa" w:w="25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Soporte abusivo</w:t>
            </w:r>
          </w:p>
        </w:tc>
        <w:tc>
          <w:tcPr>
            <w:tcW w:type="dxa" w:w="68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Acceso just-in-time, aprobación, grabación de eventos, enmascarado y revisión</w:t>
            </w:r>
          </w:p>
        </w:tc>
      </w:tr>
      <w:tr>
        <w:trPr>
          <w:cantSplit/>
          <w:trHeight w:hRule="atLeast"/>
        </w:trPr>
        <w:tc>
          <w:tcPr>
            <w:tcW w:type="dxa" w:w="25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Documento malicioso</w:t>
            </w:r>
          </w:p>
        </w:tc>
        <w:tc>
          <w:tcPr>
            <w:tcW w:type="dxa" w:w="68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Antivirus, sandbox, tipos permitidos, límites, CDR cuando proceda y sin ejecución</w:t>
            </w:r>
          </w:p>
        </w:tc>
      </w:tr>
      <w:tr>
        <w:trPr>
          <w:cantSplit/>
          <w:trHeight w:hRule="atLeast"/>
        </w:trPr>
        <w:tc>
          <w:tcPr>
            <w:tcW w:type="dxa" w:w="25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IA con exceso de acceso</w:t>
            </w:r>
          </w:p>
        </w:tc>
        <w:tc>
          <w:tcPr>
            <w:tcW w:type="dxa" w:w="68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Recuperación filtrada por permisos, no entrenar con datos, registro y bloqueo de acciones críticas</w:t>
            </w:r>
          </w:p>
        </w:tc>
      </w:tr>
    </w:tbl>
    <w:p>
      <w:pPr>
        <w:keepLines/>
        <w:spacing w:after="0"/>
      </w:pPr>
    </w:p>
    <w:p>
      <w:bookmarkStart w:id="69" w:name="sec_059"/>
      <w:pPr>
        <w:pStyle w:val="Heading2"/>
        <w:keepLines/>
      </w:pPr>
      <w:r>
        <w:t>17.2 Controles técnicos</w:t>
      </w:r>
      <w:bookmarkEnd w:id="69"/>
    </w:p>
    <w:p>
      <w:pPr>
        <w:spacing w:after="60" w:line="271" w:lineRule="auto"/>
        <w:keepLines/>
        <w:numPr>
          <w:ilvl w:val="0"/>
          <w:numId w:val="10"/>
        </w:numPr>
      </w:pPr>
      <w:r>
        <w:rPr>
          <w:rFonts w:ascii="Aptos" w:hAnsi="Aptos" w:eastAsia="Aptos"/>
          <w:color w:val="24323E"/>
          <w:sz w:val="20"/>
        </w:rPr>
        <w:t>TLS moderno en tránsito; cifrado gestionado en reposo y cifrado de aplicación para secretos/campos de alto impacto.</w:t>
      </w:r>
    </w:p>
    <w:p>
      <w:pPr>
        <w:spacing w:after="60" w:line="271" w:lineRule="auto"/>
        <w:keepLines/>
        <w:numPr>
          <w:ilvl w:val="0"/>
          <w:numId w:val="10"/>
        </w:numPr>
      </w:pPr>
      <w:r>
        <w:rPr>
          <w:rFonts w:ascii="Aptos" w:hAnsi="Aptos" w:eastAsia="Aptos"/>
          <w:color w:val="24323E"/>
          <w:sz w:val="20"/>
        </w:rPr>
        <w:t>Passkeys y MFA; códigos de recuperación; sesiones visibles y revocables; no usar preguntas de seguridad.</w:t>
      </w:r>
    </w:p>
    <w:p>
      <w:pPr>
        <w:spacing w:after="60" w:line="271" w:lineRule="auto"/>
        <w:keepLines/>
        <w:numPr>
          <w:ilvl w:val="0"/>
          <w:numId w:val="10"/>
        </w:numPr>
      </w:pPr>
      <w:r>
        <w:rPr>
          <w:rFonts w:ascii="Aptos" w:hAnsi="Aptos" w:eastAsia="Aptos"/>
          <w:color w:val="24323E"/>
          <w:sz w:val="20"/>
        </w:rPr>
        <w:t>PostgreSQL con aislamiento lógico robusto y Row Level Security como defensa adicional; pruebas automáticas de fuga.</w:t>
      </w:r>
    </w:p>
    <w:p>
      <w:pPr>
        <w:spacing w:after="60" w:line="271" w:lineRule="auto"/>
        <w:keepLines/>
        <w:numPr>
          <w:ilvl w:val="0"/>
          <w:numId w:val="10"/>
        </w:numPr>
      </w:pPr>
      <w:r>
        <w:rPr>
          <w:rFonts w:ascii="Aptos" w:hAnsi="Aptos" w:eastAsia="Aptos"/>
          <w:color w:val="24323E"/>
          <w:sz w:val="20"/>
        </w:rPr>
        <w:t>Objetos privados con URL firmada de corta duración, antivirus, hashes y bucket/prefijo segregado.</w:t>
      </w:r>
    </w:p>
    <w:p>
      <w:pPr>
        <w:spacing w:after="60" w:line="271" w:lineRule="auto"/>
        <w:keepLines/>
        <w:numPr>
          <w:ilvl w:val="0"/>
          <w:numId w:val="10"/>
        </w:numPr>
      </w:pPr>
      <w:r>
        <w:rPr>
          <w:rFonts w:ascii="Aptos" w:hAnsi="Aptos" w:eastAsia="Aptos"/>
          <w:color w:val="24323E"/>
          <w:sz w:val="20"/>
        </w:rPr>
        <w:t>Secretos en gestor dedicado, rotación, identidades de carga de trabajo y prohibición de credenciales en repositorio.</w:t>
      </w:r>
    </w:p>
    <w:p>
      <w:pPr>
        <w:spacing w:after="60" w:line="271" w:lineRule="auto"/>
        <w:keepLines/>
        <w:numPr>
          <w:ilvl w:val="0"/>
          <w:numId w:val="10"/>
        </w:numPr>
      </w:pPr>
      <w:r>
        <w:rPr>
          <w:rFonts w:ascii="Aptos" w:hAnsi="Aptos" w:eastAsia="Aptos"/>
          <w:color w:val="24323E"/>
          <w:sz w:val="20"/>
        </w:rPr>
        <w:t>SAST, DAST, dependencias, SBOM, protección de ramas, revisión, entornos separados y pentest antes de producción.</w:t>
      </w:r>
    </w:p>
    <w:p>
      <w:pPr>
        <w:spacing w:after="60" w:line="271" w:lineRule="auto"/>
        <w:keepLines/>
        <w:numPr>
          <w:ilvl w:val="0"/>
          <w:numId w:val="10"/>
        </w:numPr>
      </w:pPr>
      <w:r>
        <w:rPr>
          <w:rFonts w:ascii="Aptos" w:hAnsi="Aptos" w:eastAsia="Aptos"/>
          <w:color w:val="24323E"/>
          <w:sz w:val="20"/>
        </w:rPr>
        <w:t>Registro de auditoría append-only, exportado a almacenamiento de retención y SIEM; relojes sincronizados.</w:t>
      </w:r>
    </w:p>
    <w:p>
      <w:pPr>
        <w:spacing w:after="60" w:line="271" w:lineRule="auto"/>
        <w:keepLines/>
        <w:numPr>
          <w:ilvl w:val="0"/>
          <w:numId w:val="10"/>
        </w:numPr>
      </w:pPr>
      <w:r>
        <w:rPr>
          <w:rFonts w:ascii="Aptos" w:hAnsi="Aptos" w:eastAsia="Aptos"/>
          <w:color w:val="24323E"/>
          <w:sz w:val="20"/>
        </w:rPr>
        <w:t>Copias cifradas, inmutables y geográficamente separadas dentro de la región elegida; restauraciones trimestrales probadas.</w:t>
      </w:r>
    </w:p>
    <w:p>
      <w:bookmarkStart w:id="70" w:name="sec_060"/>
      <w:pPr>
        <w:pStyle w:val="Heading2"/>
        <w:keepLines/>
      </w:pPr>
      <w:r>
        <w:t>17.3 Registro de auditoría</w:t>
      </w:r>
      <w:bookmarkEnd w:id="70"/>
    </w:p>
    <w:p>
      <w:pPr>
        <w:keepLines/>
        <w:spacing w:before="0" w:after="80" w:line="269" w:lineRule="auto"/>
      </w:pPr>
      <w:r>
        <w:rPr>
          <w:rFonts w:ascii="Aptos" w:hAnsi="Aptos" w:eastAsia="Aptos"/>
          <w:b w:val="0"/>
          <w:i w:val="0"/>
          <w:color w:val="24323E"/>
          <w:sz w:val="21"/>
        </w:rPr>
        <w:t>Cada evento crítico incluirá quién, sobre qué comunidad y recurso, acción, resultado, fecha, sesión, origen, autorización, razón, valores antes/después protegidos, correlación y evidencia. Los registros no deben copiar documentos ni secretos completos.</w:t>
      </w:r>
    </w:p>
    <w:p>
      <w:bookmarkStart w:id="71" w:name="sec_061"/>
      <w:pPr>
        <w:pStyle w:val="Heading2"/>
        <w:keepLines/>
      </w:pPr>
      <w:r>
        <w:t>17.4 Brechas</w:t>
      </w:r>
      <w:bookmarkEnd w:id="71"/>
    </w:p>
    <w:p>
      <w:pPr>
        <w:keepLines/>
        <w:spacing w:before="0" w:after="80" w:line="269" w:lineRule="auto"/>
      </w:pPr>
      <w:r>
        <w:rPr>
          <w:rFonts w:ascii="Aptos" w:hAnsi="Aptos" w:eastAsia="Aptos"/>
          <w:b w:val="0"/>
          <w:i w:val="0"/>
          <w:color w:val="24323E"/>
          <w:sz w:val="21"/>
        </w:rPr>
        <w:t>El procedimiento contempla detección, contención, clasificación, preservación de evidencias, comunicación al responsable, valoración del riesgo y soporte a la notificación. Cuando exista riesgo, la AEPD señala un plazo máximo de 72 horas desde que el responsable tiene constancia; toda brecha se documenta aunque no sea notificable.</w:t>
      </w:r>
    </w:p>
    <w:p>
      <w:bookmarkStart w:id="72" w:name="sec_062"/>
      <w:pPr>
        <w:pStyle w:val="Heading2"/>
        <w:keepLines/>
      </w:pPr>
      <w:r>
        <w:t>17.5 Objetivos de resiliencia</w:t>
      </w:r>
      <w:bookmarkEnd w:id="72"/>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800"/>
        <w:gridCol w:w="3900"/>
        <w:gridCol w:w="3660"/>
      </w:tblGrid>
      <w:tr>
        <w:trPr>
          <w:cantSplit/>
          <w:trHeight w:hRule="atLeast"/>
          <w:tblHeader w:val="true"/>
          <w:cantSplit/>
        </w:trPr>
        <w:tc>
          <w:tcPr>
            <w:tcW w:type="dxa" w:w="18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Nivel</w:t>
            </w:r>
          </w:p>
        </w:tc>
        <w:tc>
          <w:tcPr>
            <w:tcW w:type="dxa" w:w="39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Ejemplos</w:t>
            </w:r>
          </w:p>
        </w:tc>
        <w:tc>
          <w:tcPr>
            <w:tcW w:type="dxa" w:w="36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Objetivo inicial</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Crítico</w:t>
            </w:r>
          </w:p>
        </w:tc>
        <w:tc>
          <w:tcPr>
            <w:tcW w:type="dxa" w:w="3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Identidad, permisos, cuotas, juntas activas</w:t>
            </w:r>
          </w:p>
        </w:tc>
        <w:tc>
          <w:tcPr>
            <w:tcW w:type="dxa" w:w="36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RPO ≤ 15 min; RTO ≤ 4 h</w:t>
            </w:r>
          </w:p>
        </w:tc>
      </w:tr>
      <w:tr>
        <w:trPr>
          <w:cantSplit/>
          <w:trHeight w:hRule="atLeast"/>
        </w:trPr>
        <w:tc>
          <w:tcPr>
            <w:tcW w:type="dxa" w:w="1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Importante</w:t>
            </w:r>
          </w:p>
        </w:tc>
        <w:tc>
          <w:tcPr>
            <w:tcW w:type="dxa" w:w="3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Documentos, incidencias, proveedores</w:t>
            </w:r>
          </w:p>
        </w:tc>
        <w:tc>
          <w:tcPr>
            <w:tcW w:type="dxa" w:w="36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RPO ≤ 1 h; RTO ≤ 8 h</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Analítico</w:t>
            </w:r>
          </w:p>
        </w:tc>
        <w:tc>
          <w:tcPr>
            <w:tcW w:type="dxa" w:w="3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Informes derivados, índices</w:t>
            </w:r>
          </w:p>
        </w:tc>
        <w:tc>
          <w:tcPr>
            <w:tcW w:type="dxa" w:w="36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Reconstruible; RTO ≤ 24 h</w:t>
            </w:r>
          </w:p>
        </w:tc>
      </w:tr>
    </w:tbl>
    <w:p>
      <w:pPr>
        <w:keepLines/>
        <w:spacing w:after="0"/>
      </w:pPr>
    </w:p>
    <w:p>
      <w:bookmarkStart w:id="73" w:name="sec_063"/>
      <w:pPr>
        <w:pStyle w:val="Heading1"/>
        <w:keepLines/>
      </w:pPr>
      <w:r>
        <w:t>18. Modelo de información</w:t>
      </w:r>
      <w:bookmarkEnd w:id="73"/>
    </w:p>
    <w:p>
      <w:bookmarkStart w:id="74" w:name="sec_064"/>
      <w:pPr>
        <w:pStyle w:val="Heading2"/>
        <w:keepLines/>
      </w:pPr>
      <w:r>
        <w:t>18.1 Agregados principales</w:t>
      </w:r>
      <w:bookmarkEnd w:id="74"/>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900"/>
        <w:gridCol w:w="7460"/>
      </w:tblGrid>
      <w:tr>
        <w:trPr>
          <w:cantSplit/>
          <w:trHeight w:hRule="atLeast"/>
          <w:tblHeader w:val="true"/>
          <w:cantSplit/>
        </w:trPr>
        <w:tc>
          <w:tcPr>
            <w:tcW w:type="dxa" w:w="19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Dominio</w:t>
            </w:r>
          </w:p>
        </w:tc>
        <w:tc>
          <w:tcPr>
            <w:tcW w:type="dxa" w:w="74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Entidades</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Organización</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community, community_group, subcommunity, structure_node, legal_rule_profile</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Inmueble</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private_unit, annex, common_element, asset, location</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Personas</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person, identity, contact_point, residency, accessibility_preference</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Relaciones</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ownership, occupancy, representation, office_term, service_mandate, access_grant</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Gobierno</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meeting, agenda_item, attendance, proxy, vote, resolution, minute, signature</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Economía</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fiscal_period, budget, allocation_rule, charge, invoice, payment, bank_tx, ledger_entry</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Operación</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ticket, work_order, supplier, contract, asset_plan, project, insurance_claim</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Documentos</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document, version, classification, retention_rule, legal_hold, signature_evidence</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Cumplimiento</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processing_activity, privacy_notice, rights_request, incident, risk, processor</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Plataforma</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user, credential, session, role, policy, audit_event, integration, webhook</w:t>
            </w:r>
          </w:p>
        </w:tc>
      </w:tr>
    </w:tbl>
    <w:p>
      <w:pPr>
        <w:keepLines/>
        <w:spacing w:after="0"/>
      </w:pPr>
    </w:p>
    <w:p>
      <w:bookmarkStart w:id="75" w:name="sec_065"/>
      <w:pPr>
        <w:pStyle w:val="Heading2"/>
        <w:keepLines/>
      </w:pPr>
      <w:r>
        <w:t>18.2 Reglas de modelado</w:t>
      </w:r>
      <w:bookmarkEnd w:id="75"/>
    </w:p>
    <w:p>
      <w:pPr>
        <w:spacing w:after="60" w:line="271" w:lineRule="auto"/>
        <w:keepLines/>
        <w:numPr>
          <w:ilvl w:val="0"/>
          <w:numId w:val="10"/>
        </w:numPr>
      </w:pPr>
      <w:r>
        <w:rPr>
          <w:rFonts w:ascii="Aptos" w:hAnsi="Aptos" w:eastAsia="Aptos"/>
          <w:color w:val="24323E"/>
          <w:sz w:val="20"/>
        </w:rPr>
        <w:t>Identificadores internos aleatorios; no usar DNI, referencia catastral o dirección como clave primaria.</w:t>
      </w:r>
    </w:p>
    <w:p>
      <w:pPr>
        <w:spacing w:after="60" w:line="271" w:lineRule="auto"/>
        <w:keepLines/>
        <w:numPr>
          <w:ilvl w:val="0"/>
          <w:numId w:val="10"/>
        </w:numPr>
      </w:pPr>
      <w:r>
        <w:rPr>
          <w:rFonts w:ascii="Aptos" w:hAnsi="Aptos" w:eastAsia="Aptos"/>
          <w:color w:val="24323E"/>
          <w:sz w:val="20"/>
        </w:rPr>
        <w:t>Toda relación con efectos históricos tiene valid_from, valid_to y origen; evitar columnas sobrescritas.</w:t>
      </w:r>
    </w:p>
    <w:p>
      <w:pPr>
        <w:spacing w:after="60" w:line="271" w:lineRule="auto"/>
        <w:keepLines/>
        <w:numPr>
          <w:ilvl w:val="0"/>
          <w:numId w:val="10"/>
        </w:numPr>
      </w:pPr>
      <w:r>
        <w:rPr>
          <w:rFonts w:ascii="Aptos" w:hAnsi="Aptos" w:eastAsia="Aptos"/>
          <w:color w:val="24323E"/>
          <w:sz w:val="20"/>
        </w:rPr>
        <w:t>Dinero en enteros de la unidad mínima o decimal exacto; moneda explícita; jamás float.</w:t>
      </w:r>
    </w:p>
    <w:p>
      <w:pPr>
        <w:spacing w:after="60" w:line="271" w:lineRule="auto"/>
        <w:keepLines/>
        <w:numPr>
          <w:ilvl w:val="0"/>
          <w:numId w:val="10"/>
        </w:numPr>
      </w:pPr>
      <w:r>
        <w:rPr>
          <w:rFonts w:ascii="Aptos" w:hAnsi="Aptos" w:eastAsia="Aptos"/>
          <w:color w:val="24323E"/>
          <w:sz w:val="20"/>
        </w:rPr>
        <w:t>Coeficientes con precisión definida, tipo, ámbito y versión; conservar la suma y diferencia de redondeo.</w:t>
      </w:r>
    </w:p>
    <w:p>
      <w:pPr>
        <w:spacing w:after="60" w:line="271" w:lineRule="auto"/>
        <w:keepLines/>
        <w:numPr>
          <w:ilvl w:val="0"/>
          <w:numId w:val="10"/>
        </w:numPr>
      </w:pPr>
      <w:r>
        <w:rPr>
          <w:rFonts w:ascii="Aptos" w:hAnsi="Aptos" w:eastAsia="Aptos"/>
          <w:color w:val="24323E"/>
          <w:sz w:val="20"/>
        </w:rPr>
        <w:t>Documento original inmutable, metadatos editables versionados y relaciones explícitas con el hecho que prueba.</w:t>
      </w:r>
    </w:p>
    <w:p>
      <w:pPr>
        <w:spacing w:after="60" w:line="271" w:lineRule="auto"/>
        <w:keepLines/>
        <w:numPr>
          <w:ilvl w:val="0"/>
          <w:numId w:val="10"/>
        </w:numPr>
      </w:pPr>
      <w:r>
        <w:rPr>
          <w:rFonts w:ascii="Aptos" w:hAnsi="Aptos" w:eastAsia="Aptos"/>
          <w:color w:val="24323E"/>
          <w:sz w:val="20"/>
        </w:rPr>
        <w:t>Separar identidad autenticada de persona civil; una persona puede tener varias credenciales y relaciones.</w:t>
      </w:r>
    </w:p>
    <w:p>
      <w:pPr>
        <w:spacing w:after="60" w:line="271" w:lineRule="auto"/>
        <w:keepLines/>
        <w:numPr>
          <w:ilvl w:val="0"/>
          <w:numId w:val="10"/>
        </w:numPr>
      </w:pPr>
      <w:r>
        <w:rPr>
          <w:rFonts w:ascii="Aptos" w:hAnsi="Aptos" w:eastAsia="Aptos"/>
          <w:color w:val="24323E"/>
          <w:sz w:val="20"/>
        </w:rPr>
        <w:t>Soft delete no sustituye retención: usar estados activos, bloqueados, suprimidos y anonimizados con reglas claras.</w:t>
      </w:r>
    </w:p>
    <w:p>
      <w:bookmarkStart w:id="76" w:name="sec_066"/>
      <w:pPr>
        <w:pStyle w:val="Heading2"/>
        <w:keepLines/>
      </w:pPr>
      <w:r>
        <w:t>18.3 Multi-tenancy</w:t>
      </w:r>
      <w:bookmarkEnd w:id="76"/>
    </w:p>
    <w:p>
      <w:pPr>
        <w:keepLines/>
        <w:spacing w:before="0" w:after="80" w:line="269" w:lineRule="auto"/>
      </w:pPr>
      <w:r>
        <w:rPr>
          <w:rFonts w:ascii="Aptos" w:hAnsi="Aptos" w:eastAsia="Aptos"/>
          <w:b w:val="0"/>
          <w:i w:val="0"/>
          <w:color w:val="24323E"/>
          <w:sz w:val="21"/>
        </w:rPr>
        <w:t>Cada fila de negocio incorpora community_id o un ámbito superior inequívoco. La API resuelve el contexto desde el token y la relación autorizada; nunca acepta un identificador de comunidad sin comprobarlo. Cualquier búsqueda, cola, caché, evento y fichero conserva el tenant para evitar mezclas.</w:t>
      </w:r>
    </w:p>
    <w:p>
      <w:bookmarkStart w:id="77" w:name="sec_067"/>
      <w:pPr>
        <w:pStyle w:val="Heading1"/>
        <w:keepLines/>
      </w:pPr>
      <w:r>
        <w:t>19. Arquitectura técnica propuesta</w:t>
      </w:r>
      <w:bookmarkEnd w:id="77"/>
    </w:p>
    <w:p>
      <w:bookmarkStart w:id="78" w:name="sec_068"/>
      <w:pPr>
        <w:pStyle w:val="Heading2"/>
        <w:keepLines/>
      </w:pPr>
      <w:r>
        <w:t>19.1 Enfoque</w:t>
      </w:r>
      <w:bookmarkEnd w:id="78"/>
    </w:p>
    <w:p>
      <w:pPr>
        <w:keepLines/>
        <w:spacing w:before="0" w:after="80" w:line="269" w:lineRule="auto"/>
      </w:pPr>
      <w:r>
        <w:rPr>
          <w:rFonts w:ascii="Aptos" w:hAnsi="Aptos" w:eastAsia="Aptos"/>
          <w:b w:val="0"/>
          <w:i w:val="0"/>
          <w:color w:val="24323E"/>
          <w:sz w:val="21"/>
        </w:rPr>
        <w:t>Para el MVP se recomienda un monolito modular con eventos internos y workers, más fácil de asegurar, desplegar y auditar que microservicios prematuros. Los límites de dominio quedan preparados para extraerse cuando exista una razón operativa medible.</w:t>
      </w:r>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500"/>
        <w:gridCol w:w="2800"/>
        <w:gridCol w:w="5060"/>
      </w:tblGrid>
      <w:tr>
        <w:trPr>
          <w:cantSplit/>
          <w:trHeight w:hRule="atLeast"/>
          <w:tblHeader w:val="true"/>
          <w:cantSplit/>
        </w:trPr>
        <w:tc>
          <w:tcPr>
            <w:tcW w:type="dxa" w:w="15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Capa</w:t>
            </w:r>
          </w:p>
        </w:tc>
        <w:tc>
          <w:tcPr>
            <w:tcW w:type="dxa" w:w="28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Tecnología orientativa</w:t>
            </w:r>
          </w:p>
        </w:tc>
        <w:tc>
          <w:tcPr>
            <w:tcW w:type="dxa" w:w="50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Decisión</w:t>
            </w:r>
          </w:p>
        </w:tc>
      </w:tr>
      <w:tr>
        <w:trPr>
          <w:cantSplit/>
          <w:trHeight w:hRule="atLeast"/>
        </w:trPr>
        <w:tc>
          <w:tcPr>
            <w:tcW w:type="dxa" w:w="15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Web y PWA</w:t>
            </w:r>
          </w:p>
        </w:tc>
        <w:tc>
          <w:tcPr>
            <w:tcW w:type="dxa" w:w="2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Next.js + TypeScript</w:t>
            </w:r>
          </w:p>
        </w:tc>
        <w:tc>
          <w:tcPr>
            <w:tcW w:type="dxa" w:w="50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App responsive, instalable, SSR donde aporte, caché controlada y actualización segura</w:t>
            </w:r>
          </w:p>
        </w:tc>
      </w:tr>
      <w:tr>
        <w:trPr>
          <w:cantSplit/>
          <w:trHeight w:hRule="atLeast"/>
        </w:trPr>
        <w:tc>
          <w:tcPr>
            <w:tcW w:type="dxa" w:w="15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Componentes</w:t>
            </w:r>
          </w:p>
        </w:tc>
        <w:tc>
          <w:tcPr>
            <w:tcW w:type="dxa" w:w="2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shadcn/ui + design system</w:t>
            </w:r>
          </w:p>
        </w:tc>
        <w:tc>
          <w:tcPr>
            <w:tcW w:type="dxa" w:w="50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Accesibilidad, estados, formularios y patrones coherentes</w:t>
            </w:r>
          </w:p>
        </w:tc>
      </w:tr>
      <w:tr>
        <w:trPr>
          <w:cantSplit/>
          <w:trHeight w:hRule="atLeast"/>
        </w:trPr>
        <w:tc>
          <w:tcPr>
            <w:tcW w:type="dxa" w:w="15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API</w:t>
            </w:r>
          </w:p>
        </w:tc>
        <w:tc>
          <w:tcPr>
            <w:tcW w:type="dxa" w:w="2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NestJS/Express TypeScript o capa server modular</w:t>
            </w:r>
          </w:p>
        </w:tc>
        <w:tc>
          <w:tcPr>
            <w:tcW w:type="dxa" w:w="50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REST OpenAPI inicial; idempotencia, versionado y autorización central</w:t>
            </w:r>
          </w:p>
        </w:tc>
      </w:tr>
      <w:tr>
        <w:trPr>
          <w:cantSplit/>
          <w:trHeight w:hRule="atLeast"/>
        </w:trPr>
        <w:tc>
          <w:tcPr>
            <w:tcW w:type="dxa" w:w="15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Datos</w:t>
            </w:r>
          </w:p>
        </w:tc>
        <w:tc>
          <w:tcPr>
            <w:tcW w:type="dxa" w:w="2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PostgreSQL</w:t>
            </w:r>
          </w:p>
        </w:tc>
        <w:tc>
          <w:tcPr>
            <w:tcW w:type="dxa" w:w="50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Transacciones, RLS, auditoría, JSON limitado y migraciones</w:t>
            </w:r>
          </w:p>
        </w:tc>
      </w:tr>
      <w:tr>
        <w:trPr>
          <w:cantSplit/>
          <w:trHeight w:hRule="atLeast"/>
        </w:trPr>
        <w:tc>
          <w:tcPr>
            <w:tcW w:type="dxa" w:w="15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Colas</w:t>
            </w:r>
          </w:p>
        </w:tc>
        <w:tc>
          <w:tcPr>
            <w:tcW w:type="dxa" w:w="2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Redis/BullMQ o cola gestionada</w:t>
            </w:r>
          </w:p>
        </w:tc>
        <w:tc>
          <w:tcPr>
            <w:tcW w:type="dxa" w:w="50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Notificaciones, OCR, conciliación, exportaciones y tareas programadas</w:t>
            </w:r>
          </w:p>
        </w:tc>
      </w:tr>
      <w:tr>
        <w:trPr>
          <w:cantSplit/>
          <w:trHeight w:hRule="atLeast"/>
        </w:trPr>
        <w:tc>
          <w:tcPr>
            <w:tcW w:type="dxa" w:w="15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Objetos</w:t>
            </w:r>
          </w:p>
        </w:tc>
        <w:tc>
          <w:tcPr>
            <w:tcW w:type="dxa" w:w="2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S3 compatible en región UE</w:t>
            </w:r>
          </w:p>
        </w:tc>
        <w:tc>
          <w:tcPr>
            <w:tcW w:type="dxa" w:w="50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Versiones, retención, cifrado, antivirus y URL firmadas</w:t>
            </w:r>
          </w:p>
        </w:tc>
      </w:tr>
      <w:tr>
        <w:trPr>
          <w:cantSplit/>
          <w:trHeight w:hRule="atLeast"/>
        </w:trPr>
        <w:tc>
          <w:tcPr>
            <w:tcW w:type="dxa" w:w="15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Búsqueda</w:t>
            </w:r>
          </w:p>
        </w:tc>
        <w:tc>
          <w:tcPr>
            <w:tcW w:type="dxa" w:w="2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PostgreSQL FTS al inicio</w:t>
            </w:r>
          </w:p>
        </w:tc>
        <w:tc>
          <w:tcPr>
            <w:tcW w:type="dxa" w:w="50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Índice por permisos; motor dedicado solo si la escala lo exige</w:t>
            </w:r>
          </w:p>
        </w:tc>
      </w:tr>
      <w:tr>
        <w:trPr>
          <w:cantSplit/>
          <w:trHeight w:hRule="atLeast"/>
        </w:trPr>
        <w:tc>
          <w:tcPr>
            <w:tcW w:type="dxa" w:w="15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Identidad</w:t>
            </w:r>
          </w:p>
        </w:tc>
        <w:tc>
          <w:tcPr>
            <w:tcW w:type="dxa" w:w="2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OIDC/OAuth 2.1, passkeys y MFA</w:t>
            </w:r>
          </w:p>
        </w:tc>
        <w:tc>
          <w:tcPr>
            <w:tcW w:type="dxa" w:w="50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Proveedor gestionado o componente aislado; sesiones y riesgo</w:t>
            </w:r>
          </w:p>
        </w:tc>
      </w:tr>
      <w:tr>
        <w:trPr>
          <w:cantSplit/>
          <w:trHeight w:hRule="atLeast"/>
        </w:trPr>
        <w:tc>
          <w:tcPr>
            <w:tcW w:type="dxa" w:w="15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Observabilidad</w:t>
            </w:r>
          </w:p>
        </w:tc>
        <w:tc>
          <w:tcPr>
            <w:tcW w:type="dxa" w:w="2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OpenTelemetry + métricas/logs/trazas</w:t>
            </w:r>
          </w:p>
        </w:tc>
        <w:tc>
          <w:tcPr>
            <w:tcW w:type="dxa" w:w="50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Correlación, alertas, SLO y datos sensibles filtrados</w:t>
            </w:r>
          </w:p>
        </w:tc>
      </w:tr>
      <w:tr>
        <w:trPr>
          <w:cantSplit/>
          <w:trHeight w:hRule="atLeast"/>
        </w:trPr>
        <w:tc>
          <w:tcPr>
            <w:tcW w:type="dxa" w:w="15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Infraestructura</w:t>
            </w:r>
          </w:p>
        </w:tc>
        <w:tc>
          <w:tcPr>
            <w:tcW w:type="dxa" w:w="2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Contenedores + IaC</w:t>
            </w:r>
          </w:p>
        </w:tc>
        <w:tc>
          <w:tcPr>
            <w:tcW w:type="dxa" w:w="50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Entornos separados, despliegue repetible, backup y recuperación</w:t>
            </w:r>
          </w:p>
        </w:tc>
      </w:tr>
    </w:tbl>
    <w:p>
      <w:pPr>
        <w:keepLines/>
        <w:spacing w:after="0"/>
      </w:pPr>
    </w:p>
    <w:p>
      <w:bookmarkStart w:id="79" w:name="sec_069"/>
      <w:pPr>
        <w:pStyle w:val="Heading2"/>
        <w:keepLines/>
      </w:pPr>
      <w:r>
        <w:t>19.2 Módulos del backend</w:t>
      </w:r>
      <w:bookmarkEnd w:id="79"/>
    </w:p>
    <w:p>
      <w:pPr>
        <w:spacing w:after="60" w:line="271" w:lineRule="auto"/>
        <w:keepLines/>
        <w:numPr>
          <w:ilvl w:val="0"/>
          <w:numId w:val="10"/>
        </w:numPr>
      </w:pPr>
      <w:r>
        <w:rPr>
          <w:rFonts w:ascii="Aptos" w:hAnsi="Aptos" w:eastAsia="Aptos"/>
          <w:color w:val="24323E"/>
          <w:sz w:val="20"/>
        </w:rPr>
        <w:t>Identity &amp; Access; Community Registry; Property Structure; People &amp; Relations.</w:t>
      </w:r>
    </w:p>
    <w:p>
      <w:pPr>
        <w:spacing w:after="60" w:line="271" w:lineRule="auto"/>
        <w:keepLines/>
        <w:numPr>
          <w:ilvl w:val="0"/>
          <w:numId w:val="10"/>
        </w:numPr>
      </w:pPr>
      <w:r>
        <w:rPr>
          <w:rFonts w:ascii="Aptos" w:hAnsi="Aptos" w:eastAsia="Aptos"/>
          <w:color w:val="24323E"/>
          <w:sz w:val="20"/>
        </w:rPr>
        <w:t>Governance &amp; Meetings; Finance &amp; Ledger; Banking &amp; Reconciliation; Suppliers &amp; Procurement.</w:t>
      </w:r>
    </w:p>
    <w:p>
      <w:pPr>
        <w:spacing w:after="60" w:line="271" w:lineRule="auto"/>
        <w:keepLines/>
        <w:numPr>
          <w:ilvl w:val="0"/>
          <w:numId w:val="10"/>
        </w:numPr>
      </w:pPr>
      <w:r>
        <w:rPr>
          <w:rFonts w:ascii="Aptos" w:hAnsi="Aptos" w:eastAsia="Aptos"/>
          <w:color w:val="24323E"/>
          <w:sz w:val="20"/>
        </w:rPr>
        <w:t>Tickets &amp; Maintenance; Assets &amp; Projects; Documents &amp; Signatures; Communications.</w:t>
      </w:r>
    </w:p>
    <w:p>
      <w:pPr>
        <w:spacing w:after="60" w:line="271" w:lineRule="auto"/>
        <w:keepLines/>
        <w:numPr>
          <w:ilvl w:val="0"/>
          <w:numId w:val="10"/>
        </w:numPr>
      </w:pPr>
      <w:r>
        <w:rPr>
          <w:rFonts w:ascii="Aptos" w:hAnsi="Aptos" w:eastAsia="Aptos"/>
          <w:color w:val="24323E"/>
          <w:sz w:val="20"/>
        </w:rPr>
        <w:t>Privacy &amp; Compliance; Audit &amp; Risk; Integrations; Reporting &amp; Export; Billing de plataforma.</w:t>
      </w:r>
    </w:p>
    <w:p>
      <w:bookmarkStart w:id="80" w:name="sec_070"/>
      <w:pPr>
        <w:pStyle w:val="Heading2"/>
        <w:keepLines/>
      </w:pPr>
      <w:r>
        <w:t>19.3 Eventos de dominio</w:t>
      </w:r>
      <w:bookmarkEnd w:id="80"/>
    </w:p>
    <w:p>
      <w:pPr>
        <w:keepLines/>
        <w:spacing w:before="0" w:after="80" w:line="269" w:lineRule="auto"/>
      </w:pPr>
      <w:r>
        <w:rPr>
          <w:rFonts w:ascii="Aptos" w:hAnsi="Aptos" w:eastAsia="Aptos"/>
          <w:b w:val="0"/>
          <w:i w:val="0"/>
          <w:color w:val="24323E"/>
          <w:sz w:val="21"/>
        </w:rPr>
        <w:t>Ejemplos: AdministratorAppointed, AccessGrantRevoked, ChargeIssued, BankTransactionMatched, MeetingCalled, ResolutionApproved, IncidentEscalated, DocumentSuperseded y PrivacyRightRequested. Se usa patrón outbox para publicar de forma fiable tras la transacción.</w:t>
      </w:r>
    </w:p>
    <w:p>
      <w:bookmarkStart w:id="81" w:name="sec_071"/>
      <w:pPr>
        <w:pStyle w:val="Heading2"/>
        <w:keepLines/>
      </w:pPr>
      <w:r>
        <w:t>19.4 API y extensibilidad</w:t>
      </w:r>
      <w:bookmarkEnd w:id="81"/>
    </w:p>
    <w:p>
      <w:pPr>
        <w:spacing w:after="60" w:line="271" w:lineRule="auto"/>
        <w:keepLines/>
        <w:numPr>
          <w:ilvl w:val="0"/>
          <w:numId w:val="10"/>
        </w:numPr>
      </w:pPr>
      <w:r>
        <w:rPr>
          <w:rFonts w:ascii="Aptos" w:hAnsi="Aptos" w:eastAsia="Aptos"/>
          <w:color w:val="24323E"/>
          <w:sz w:val="20"/>
        </w:rPr>
        <w:t>OpenAPI, versionado semántico de contrato, claves por aplicación, scopes, límites, idempotency-key y webhooks firmados.</w:t>
      </w:r>
    </w:p>
    <w:p>
      <w:pPr>
        <w:spacing w:after="60" w:line="271" w:lineRule="auto"/>
        <w:keepLines/>
        <w:numPr>
          <w:ilvl w:val="0"/>
          <w:numId w:val="10"/>
        </w:numPr>
      </w:pPr>
      <w:r>
        <w:rPr>
          <w:rFonts w:ascii="Aptos" w:hAnsi="Aptos" w:eastAsia="Aptos"/>
          <w:color w:val="24323E"/>
          <w:sz w:val="20"/>
        </w:rPr>
        <w:t>Exportación estándar JSON/CSV/PDF/A, originales documentales y manifiesto; importadores con staging y validación.</w:t>
      </w:r>
    </w:p>
    <w:p>
      <w:pPr>
        <w:spacing w:after="60" w:line="271" w:lineRule="auto"/>
        <w:keepLines/>
        <w:numPr>
          <w:ilvl w:val="0"/>
          <w:numId w:val="10"/>
        </w:numPr>
      </w:pPr>
      <w:r>
        <w:rPr>
          <w:rFonts w:ascii="Aptos" w:hAnsi="Aptos" w:eastAsia="Aptos"/>
          <w:color w:val="24323E"/>
          <w:sz w:val="20"/>
        </w:rPr>
        <w:t>Marketplace futuro solo con revisión de seguridad, contrato, consentimiento/base, scopes visibles y revocación.</w:t>
      </w:r>
    </w:p>
    <w:p>
      <w:bookmarkStart w:id="82" w:name="sec_072"/>
      <w:pPr>
        <w:pStyle w:val="Heading1"/>
        <w:keepLines/>
      </w:pPr>
      <w:r>
        <w:t>20. Integraciones</w:t>
      </w:r>
      <w:bookmarkEnd w:id="82"/>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900"/>
        <w:gridCol w:w="2800"/>
        <w:gridCol w:w="1000"/>
        <w:gridCol w:w="3660"/>
      </w:tblGrid>
      <w:tr>
        <w:trPr>
          <w:cantSplit/>
          <w:trHeight w:hRule="atLeast"/>
          <w:tblHeader w:val="true"/>
          <w:cantSplit/>
        </w:trPr>
        <w:tc>
          <w:tcPr>
            <w:tcW w:type="dxa" w:w="19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Integración</w:t>
            </w:r>
          </w:p>
        </w:tc>
        <w:tc>
          <w:tcPr>
            <w:tcW w:type="dxa" w:w="28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Uso</w:t>
            </w:r>
          </w:p>
        </w:tc>
        <w:tc>
          <w:tcPr>
            <w:tcW w:type="dxa" w:w="10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Prioridad</w:t>
            </w:r>
          </w:p>
        </w:tc>
        <w:tc>
          <w:tcPr>
            <w:tcW w:type="dxa" w:w="36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Control</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Bancos / open banking</w:t>
            </w:r>
          </w:p>
        </w:tc>
        <w:tc>
          <w:tcPr>
            <w:tcW w:type="dxa" w:w="2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Movimientos y saldos; iniciación solo mediante proveedor autorizado</w:t>
            </w:r>
          </w:p>
        </w:tc>
        <w:tc>
          <w:tcPr>
            <w:tcW w:type="dxa" w:w="10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Alta</w:t>
            </w:r>
          </w:p>
        </w:tc>
        <w:tc>
          <w:tcPr>
            <w:tcW w:type="dxa" w:w="36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Tokens, consentimiento, conciliación y fraude</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SEPA</w:t>
            </w:r>
          </w:p>
        </w:tc>
        <w:tc>
          <w:tcPr>
            <w:tcW w:type="dxa" w:w="2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Mandatos, remesas, devoluciones</w:t>
            </w:r>
          </w:p>
        </w:tc>
        <w:tc>
          <w:tcPr>
            <w:tcW w:type="dxa" w:w="10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Alta</w:t>
            </w:r>
          </w:p>
        </w:tc>
        <w:tc>
          <w:tcPr>
            <w:tcW w:type="dxa" w:w="36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Mandato verificable, estados e idempotencia</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Firma y entrega</w:t>
            </w:r>
          </w:p>
        </w:tc>
        <w:tc>
          <w:tcPr>
            <w:tcW w:type="dxa" w:w="2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Firma, sello, tiempo y comunicación certificada</w:t>
            </w:r>
          </w:p>
        </w:tc>
        <w:tc>
          <w:tcPr>
            <w:tcW w:type="dxa" w:w="10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Alta</w:t>
            </w:r>
          </w:p>
        </w:tc>
        <w:tc>
          <w:tcPr>
            <w:tcW w:type="dxa" w:w="36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Proveedor eIDAS y conservación de evidencia</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Correo/SMS/push</w:t>
            </w:r>
          </w:p>
        </w:tc>
        <w:tc>
          <w:tcPr>
            <w:tcW w:type="dxa" w:w="2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Avisos y notificaciones</w:t>
            </w:r>
          </w:p>
        </w:tc>
        <w:tc>
          <w:tcPr>
            <w:tcW w:type="dxa" w:w="10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Alta</w:t>
            </w:r>
          </w:p>
        </w:tc>
        <w:tc>
          <w:tcPr>
            <w:tcW w:type="dxa" w:w="36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Preferencias, plantillas, rebotes y prueba</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Contabilidad/asesoría</w:t>
            </w:r>
          </w:p>
        </w:tc>
        <w:tc>
          <w:tcPr>
            <w:tcW w:type="dxa" w:w="2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Exportar asientos, facturas y modelos</w:t>
            </w:r>
          </w:p>
        </w:tc>
        <w:tc>
          <w:tcPr>
            <w:tcW w:type="dxa" w:w="10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Media</w:t>
            </w:r>
          </w:p>
        </w:tc>
        <w:tc>
          <w:tcPr>
            <w:tcW w:type="dxa" w:w="36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Mapeos versionados y validación</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Catastro/registro</w:t>
            </w:r>
          </w:p>
        </w:tc>
        <w:tc>
          <w:tcPr>
            <w:tcW w:type="dxa" w:w="2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Importación asistida cuando sea legal y disponible</w:t>
            </w:r>
          </w:p>
        </w:tc>
        <w:tc>
          <w:tcPr>
            <w:tcW w:type="dxa" w:w="10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Baja inicial</w:t>
            </w:r>
          </w:p>
        </w:tc>
        <w:tc>
          <w:tcPr>
            <w:tcW w:type="dxa" w:w="36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No asumir titularidad por fuente no actualizada</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IoT/contadores</w:t>
            </w:r>
          </w:p>
        </w:tc>
        <w:tc>
          <w:tcPr>
            <w:tcW w:type="dxa" w:w="2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Lecturas y alertas</w:t>
            </w:r>
          </w:p>
        </w:tc>
        <w:tc>
          <w:tcPr>
            <w:tcW w:type="dxa" w:w="10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Futura</w:t>
            </w:r>
          </w:p>
        </w:tc>
        <w:tc>
          <w:tcPr>
            <w:tcW w:type="dxa" w:w="36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Seguridad de dispositivos, mínimos y retención</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Videovigilancia</w:t>
            </w:r>
          </w:p>
        </w:tc>
        <w:tc>
          <w:tcPr>
            <w:tcW w:type="dxa" w:w="2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Configuración y evidencias, no vídeo por defecto</w:t>
            </w:r>
          </w:p>
        </w:tc>
        <w:tc>
          <w:tcPr>
            <w:tcW w:type="dxa" w:w="10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Futura</w:t>
            </w:r>
          </w:p>
        </w:tc>
        <w:tc>
          <w:tcPr>
            <w:tcW w:type="dxa" w:w="36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Módulo aislado y dictamen/EIPD</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ERP de administradores</w:t>
            </w:r>
          </w:p>
        </w:tc>
        <w:tc>
          <w:tcPr>
            <w:tcW w:type="dxa" w:w="2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Sincronización bidireccional o migración</w:t>
            </w:r>
          </w:p>
        </w:tc>
        <w:tc>
          <w:tcPr>
            <w:tcW w:type="dxa" w:w="10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Media</w:t>
            </w:r>
          </w:p>
        </w:tc>
        <w:tc>
          <w:tcPr>
            <w:tcW w:type="dxa" w:w="36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Dueño de cada dato, conflictos y portabilidad</w:t>
            </w:r>
          </w:p>
        </w:tc>
      </w:tr>
    </w:tbl>
    <w:p>
      <w:pPr>
        <w:keepLines/>
        <w:spacing w:after="0"/>
      </w:pPr>
    </w:p>
    <w:p>
      <w:bookmarkStart w:id="83" w:name="sec_073"/>
      <w:pPr>
        <w:pStyle w:val="Heading1"/>
        <w:keepLines/>
      </w:pPr>
      <w:r>
        <w:t>21. Inteligencia artificial y automatización responsable</w:t>
      </w:r>
      <w:bookmarkEnd w:id="83"/>
    </w:p>
    <w:p>
      <w:bookmarkStart w:id="84" w:name="sec_074"/>
      <w:pPr>
        <w:pStyle w:val="Heading2"/>
        <w:keepLines/>
      </w:pPr>
      <w:r>
        <w:t>21.1 Casos permitidos</w:t>
      </w:r>
      <w:bookmarkEnd w:id="84"/>
    </w:p>
    <w:p>
      <w:pPr>
        <w:spacing w:after="60" w:line="271" w:lineRule="auto"/>
        <w:keepLines/>
        <w:numPr>
          <w:ilvl w:val="0"/>
          <w:numId w:val="10"/>
        </w:numPr>
      </w:pPr>
      <w:r>
        <w:rPr>
          <w:rFonts w:ascii="Aptos" w:hAnsi="Aptos" w:eastAsia="Aptos"/>
          <w:color w:val="24323E"/>
          <w:sz w:val="20"/>
        </w:rPr>
        <w:t>Clasificar incidencias, sugerir prioridad y detectar duplicados, siempre con revisión.</w:t>
      </w:r>
    </w:p>
    <w:p>
      <w:pPr>
        <w:spacing w:after="60" w:line="271" w:lineRule="auto"/>
        <w:keepLines/>
        <w:numPr>
          <w:ilvl w:val="0"/>
          <w:numId w:val="10"/>
        </w:numPr>
      </w:pPr>
      <w:r>
        <w:rPr>
          <w:rFonts w:ascii="Aptos" w:hAnsi="Aptos" w:eastAsia="Aptos"/>
          <w:color w:val="24323E"/>
          <w:sz w:val="20"/>
        </w:rPr>
        <w:t>Extraer campos de facturas y documentos; mostrar confianza, original y diferencias.</w:t>
      </w:r>
    </w:p>
    <w:p>
      <w:pPr>
        <w:spacing w:after="60" w:line="271" w:lineRule="auto"/>
        <w:keepLines/>
        <w:numPr>
          <w:ilvl w:val="0"/>
          <w:numId w:val="10"/>
        </w:numPr>
      </w:pPr>
      <w:r>
        <w:rPr>
          <w:rFonts w:ascii="Aptos" w:hAnsi="Aptos" w:eastAsia="Aptos"/>
          <w:color w:val="24323E"/>
          <w:sz w:val="20"/>
        </w:rPr>
        <w:t>Resumir actas, contratos o pólizas con citas internas y acceso filtrado.</w:t>
      </w:r>
    </w:p>
    <w:p>
      <w:pPr>
        <w:spacing w:after="60" w:line="271" w:lineRule="auto"/>
        <w:keepLines/>
        <w:numPr>
          <w:ilvl w:val="0"/>
          <w:numId w:val="10"/>
        </w:numPr>
      </w:pPr>
      <w:r>
        <w:rPr>
          <w:rFonts w:ascii="Aptos" w:hAnsi="Aptos" w:eastAsia="Aptos"/>
          <w:color w:val="24323E"/>
          <w:sz w:val="20"/>
        </w:rPr>
        <w:t>Explicar un recibo usando la regla real de reparto y datos del usuario.</w:t>
      </w:r>
    </w:p>
    <w:p>
      <w:pPr>
        <w:spacing w:after="60" w:line="271" w:lineRule="auto"/>
        <w:keepLines/>
        <w:numPr>
          <w:ilvl w:val="0"/>
          <w:numId w:val="10"/>
        </w:numPr>
      </w:pPr>
      <w:r>
        <w:rPr>
          <w:rFonts w:ascii="Aptos" w:hAnsi="Aptos" w:eastAsia="Aptos"/>
          <w:color w:val="24323E"/>
          <w:sz w:val="20"/>
        </w:rPr>
        <w:t>Detectar anomalías financieras como señal de revisión, no como acusación.</w:t>
      </w:r>
    </w:p>
    <w:p>
      <w:pPr>
        <w:spacing w:after="60" w:line="271" w:lineRule="auto"/>
        <w:keepLines/>
        <w:numPr>
          <w:ilvl w:val="0"/>
          <w:numId w:val="10"/>
        </w:numPr>
      </w:pPr>
      <w:r>
        <w:rPr>
          <w:rFonts w:ascii="Aptos" w:hAnsi="Aptos" w:eastAsia="Aptos"/>
          <w:color w:val="24323E"/>
          <w:sz w:val="20"/>
        </w:rPr>
        <w:t>Proponer borradores de avisos, orden del día y actas sin publicarlos automáticamente.</w:t>
      </w:r>
    </w:p>
    <w:p>
      <w:bookmarkStart w:id="85" w:name="sec_075"/>
      <w:pPr>
        <w:pStyle w:val="Heading2"/>
        <w:keepLines/>
      </w:pPr>
      <w:r>
        <w:t>21.2 Límites</w:t>
      </w:r>
      <w:bookmarkEnd w:id="85"/>
    </w:p>
    <w:p>
      <w:pPr>
        <w:spacing w:after="60" w:line="271" w:lineRule="auto"/>
        <w:keepLines/>
        <w:numPr>
          <w:ilvl w:val="0"/>
          <w:numId w:val="10"/>
        </w:numPr>
      </w:pPr>
      <w:r>
        <w:rPr>
          <w:rFonts w:ascii="Aptos" w:hAnsi="Aptos" w:eastAsia="Aptos"/>
          <w:color w:val="24323E"/>
          <w:sz w:val="20"/>
        </w:rPr>
        <w:t>No decidir deudas, derecho de voto, aprobación de acuerdos, adjudicación o culpabilidad.</w:t>
      </w:r>
    </w:p>
    <w:p>
      <w:pPr>
        <w:spacing w:after="60" w:line="271" w:lineRule="auto"/>
        <w:keepLines/>
        <w:numPr>
          <w:ilvl w:val="0"/>
          <w:numId w:val="10"/>
        </w:numPr>
      </w:pPr>
      <w:r>
        <w:rPr>
          <w:rFonts w:ascii="Aptos" w:hAnsi="Aptos" w:eastAsia="Aptos"/>
          <w:color w:val="24323E"/>
          <w:sz w:val="20"/>
        </w:rPr>
        <w:t>No enviar documentos, ordenar pagos, revocar accesos ni cerrar incidencias críticas sin confirmación.</w:t>
      </w:r>
    </w:p>
    <w:p>
      <w:pPr>
        <w:spacing w:after="60" w:line="271" w:lineRule="auto"/>
        <w:keepLines/>
        <w:numPr>
          <w:ilvl w:val="0"/>
          <w:numId w:val="10"/>
        </w:numPr>
      </w:pPr>
      <w:r>
        <w:rPr>
          <w:rFonts w:ascii="Aptos" w:hAnsi="Aptos" w:eastAsia="Aptos"/>
          <w:color w:val="24323E"/>
          <w:sz w:val="20"/>
        </w:rPr>
        <w:t>No entrenar modelos generales con datos de clientes. Proveedores con no-retención/no-training y región adecuada.</w:t>
      </w:r>
    </w:p>
    <w:p>
      <w:pPr>
        <w:spacing w:after="60" w:line="271" w:lineRule="auto"/>
        <w:keepLines/>
        <w:numPr>
          <w:ilvl w:val="0"/>
          <w:numId w:val="10"/>
        </w:numPr>
      </w:pPr>
      <w:r>
        <w:rPr>
          <w:rFonts w:ascii="Aptos" w:hAnsi="Aptos" w:eastAsia="Aptos"/>
          <w:color w:val="24323E"/>
          <w:sz w:val="20"/>
        </w:rPr>
        <w:t>RAG y herramientas aplican la misma autorización que la interfaz; el modelo nunca ve resultados que el usuario no puede abrir.</w:t>
      </w:r>
    </w:p>
    <w:p>
      <w:pPr>
        <w:spacing w:after="60" w:line="271" w:lineRule="auto"/>
        <w:keepLines/>
        <w:numPr>
          <w:ilvl w:val="0"/>
          <w:numId w:val="10"/>
        </w:numPr>
      </w:pPr>
      <w:r>
        <w:rPr>
          <w:rFonts w:ascii="Aptos" w:hAnsi="Aptos" w:eastAsia="Aptos"/>
          <w:color w:val="24323E"/>
          <w:sz w:val="20"/>
        </w:rPr>
        <w:t>Defensa frente a prompt injection en documentos: el contenido recuperado se trata como dato, no como instrucción.</w:t>
      </w:r>
    </w:p>
    <w:p>
      <w:pPr>
        <w:spacing w:after="60" w:line="271" w:lineRule="auto"/>
        <w:keepLines/>
        <w:numPr>
          <w:ilvl w:val="0"/>
          <w:numId w:val="10"/>
        </w:numPr>
      </w:pPr>
      <w:r>
        <w:rPr>
          <w:rFonts w:ascii="Aptos" w:hAnsi="Aptos" w:eastAsia="Aptos"/>
          <w:color w:val="24323E"/>
          <w:sz w:val="20"/>
        </w:rPr>
        <w:t>Registro de modelo, versión, prompt del sistema, fuentes, herramientas, salida y decisión humana en acciones relevantes.</w:t>
      </w:r>
    </w:p>
    <w:p>
      <w:bookmarkStart w:id="86" w:name="sec_076"/>
      <w:pPr>
        <w:pStyle w:val="Heading1"/>
        <w:keepLines/>
      </w:pPr>
      <w:r>
        <w:t>22. Diseño UX, accesibilidad y sistema visual</w:t>
      </w:r>
      <w:bookmarkEnd w:id="86"/>
    </w:p>
    <w:p>
      <w:bookmarkStart w:id="87" w:name="sec_077"/>
      <w:pPr>
        <w:pStyle w:val="Heading2"/>
        <w:keepLines/>
      </w:pPr>
      <w:r>
        <w:t>22.1 Arquitectura de información</w:t>
      </w:r>
      <w:bookmarkEnd w:id="87"/>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4680"/>
        <w:gridCol w:w="4680"/>
      </w:tblGrid>
      <w:tr>
        <w:trPr>
          <w:cantSplit/>
          <w:trHeight w:hRule="atLeast"/>
          <w:tblHeader w:val="true"/>
          <w:cantSplit/>
        </w:trPr>
        <w:tc>
          <w:tcPr>
            <w:tcW w:type="dxa" w:w="468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Área del vecino</w:t>
            </w:r>
          </w:p>
        </w:tc>
        <w:tc>
          <w:tcPr>
            <w:tcW w:type="dxa" w:w="468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Área profesional</w:t>
            </w:r>
          </w:p>
        </w:tc>
      </w:tr>
      <w:tr>
        <w:trPr>
          <w:cantSplit/>
          <w:trHeight w:hRule="atLeast"/>
        </w:trPr>
        <w:tc>
          <w:tcPr>
            <w:tcW w:type="dxa" w:w="468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Inicio</w:t>
            </w:r>
          </w:p>
        </w:tc>
        <w:tc>
          <w:tcPr>
            <w:tcW w:type="dxa" w:w="468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Panel de cartera y alertas</w:t>
            </w:r>
          </w:p>
        </w:tc>
      </w:tr>
      <w:tr>
        <w:trPr>
          <w:cantSplit/>
          <w:trHeight w:hRule="atLeast"/>
        </w:trPr>
        <w:tc>
          <w:tcPr>
            <w:tcW w:type="dxa" w:w="468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Mi vivienda/local</w:t>
            </w:r>
          </w:p>
        </w:tc>
        <w:tc>
          <w:tcPr>
            <w:tcW w:type="dxa" w:w="468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Comunidad y estructura</w:t>
            </w:r>
          </w:p>
        </w:tc>
      </w:tr>
      <w:tr>
        <w:trPr>
          <w:cantSplit/>
          <w:trHeight w:hRule="atLeast"/>
        </w:trPr>
        <w:tc>
          <w:tcPr>
            <w:tcW w:type="dxa" w:w="468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Mis recibos</w:t>
            </w:r>
          </w:p>
        </w:tc>
        <w:tc>
          <w:tcPr>
            <w:tcW w:type="dxa" w:w="468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Economía y bancos</w:t>
            </w:r>
          </w:p>
        </w:tc>
      </w:tr>
      <w:tr>
        <w:trPr>
          <w:cantSplit/>
          <w:trHeight w:hRule="atLeast"/>
        </w:trPr>
        <w:tc>
          <w:tcPr>
            <w:tcW w:type="dxa" w:w="468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Avisos</w:t>
            </w:r>
          </w:p>
        </w:tc>
        <w:tc>
          <w:tcPr>
            <w:tcW w:type="dxa" w:w="468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Comunicaciones</w:t>
            </w:r>
          </w:p>
        </w:tc>
      </w:tr>
      <w:tr>
        <w:trPr>
          <w:cantSplit/>
          <w:trHeight w:hRule="atLeast"/>
        </w:trPr>
        <w:tc>
          <w:tcPr>
            <w:tcW w:type="dxa" w:w="468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Juntas</w:t>
            </w:r>
          </w:p>
        </w:tc>
        <w:tc>
          <w:tcPr>
            <w:tcW w:type="dxa" w:w="468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Gobierno y actas</w:t>
            </w:r>
          </w:p>
        </w:tc>
      </w:tr>
      <w:tr>
        <w:trPr>
          <w:cantSplit/>
          <w:trHeight w:hRule="atLeast"/>
        </w:trPr>
        <w:tc>
          <w:tcPr>
            <w:tcW w:type="dxa" w:w="468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Incidencias</w:t>
            </w:r>
          </w:p>
        </w:tc>
        <w:tc>
          <w:tcPr>
            <w:tcW w:type="dxa" w:w="468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Operaciones y mantenimiento</w:t>
            </w:r>
          </w:p>
        </w:tc>
      </w:tr>
      <w:tr>
        <w:trPr>
          <w:cantSplit/>
          <w:trHeight w:hRule="atLeast"/>
        </w:trPr>
        <w:tc>
          <w:tcPr>
            <w:tcW w:type="dxa" w:w="468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Documentos</w:t>
            </w:r>
          </w:p>
        </w:tc>
        <w:tc>
          <w:tcPr>
            <w:tcW w:type="dxa" w:w="468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Archivo y cumplimiento</w:t>
            </w:r>
          </w:p>
        </w:tc>
      </w:tr>
      <w:tr>
        <w:trPr>
          <w:cantSplit/>
          <w:trHeight w:hRule="atLeast"/>
        </w:trPr>
        <w:tc>
          <w:tcPr>
            <w:tcW w:type="dxa" w:w="468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Reservas</w:t>
            </w:r>
          </w:p>
        </w:tc>
        <w:tc>
          <w:tcPr>
            <w:tcW w:type="dxa" w:w="468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Servicios y activos</w:t>
            </w:r>
          </w:p>
        </w:tc>
      </w:tr>
      <w:tr>
        <w:trPr>
          <w:cantSplit/>
          <w:trHeight w:hRule="atLeast"/>
        </w:trPr>
        <w:tc>
          <w:tcPr>
            <w:tcW w:type="dxa" w:w="468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Ayuda y privacidad</w:t>
            </w:r>
          </w:p>
        </w:tc>
        <w:tc>
          <w:tcPr>
            <w:tcW w:type="dxa" w:w="468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Administración, permisos e integraciones</w:t>
            </w:r>
          </w:p>
        </w:tc>
      </w:tr>
    </w:tbl>
    <w:p>
      <w:pPr>
        <w:keepLines/>
        <w:spacing w:after="0"/>
      </w:pPr>
    </w:p>
    <w:p>
      <w:bookmarkStart w:id="88" w:name="sec_078"/>
      <w:pPr>
        <w:pStyle w:val="Heading2"/>
        <w:keepLines/>
      </w:pPr>
      <w:r>
        <w:t>22.2 Reglas de interfaz</w:t>
      </w:r>
      <w:bookmarkEnd w:id="88"/>
    </w:p>
    <w:p>
      <w:pPr>
        <w:spacing w:after="60" w:line="271" w:lineRule="auto"/>
        <w:keepLines/>
        <w:numPr>
          <w:ilvl w:val="0"/>
          <w:numId w:val="10"/>
        </w:numPr>
      </w:pPr>
      <w:r>
        <w:rPr>
          <w:rFonts w:ascii="Aptos" w:hAnsi="Aptos" w:eastAsia="Aptos"/>
          <w:color w:val="24323E"/>
          <w:sz w:val="20"/>
        </w:rPr>
        <w:t>Una tarea principal por pantalla; formularios en pasos con resumen previo para acciones irreversibles.</w:t>
      </w:r>
    </w:p>
    <w:p>
      <w:pPr>
        <w:spacing w:after="60" w:line="271" w:lineRule="auto"/>
        <w:keepLines/>
        <w:numPr>
          <w:ilvl w:val="0"/>
          <w:numId w:val="10"/>
        </w:numPr>
      </w:pPr>
      <w:r>
        <w:rPr>
          <w:rFonts w:ascii="Aptos" w:hAnsi="Aptos" w:eastAsia="Aptos"/>
          <w:color w:val="24323E"/>
          <w:sz w:val="20"/>
        </w:rPr>
        <w:t>Estados con texto e icono, no solo color; errores junto al campo y lenguaje que indique cómo resolverlos.</w:t>
      </w:r>
    </w:p>
    <w:p>
      <w:pPr>
        <w:spacing w:after="60" w:line="271" w:lineRule="auto"/>
        <w:keepLines/>
        <w:numPr>
          <w:ilvl w:val="0"/>
          <w:numId w:val="10"/>
        </w:numPr>
      </w:pPr>
      <w:r>
        <w:rPr>
          <w:rFonts w:ascii="Aptos" w:hAnsi="Aptos" w:eastAsia="Aptos"/>
          <w:color w:val="24323E"/>
          <w:sz w:val="20"/>
        </w:rPr>
        <w:t>Totales económicos con desglose accesible; fechas y periodos inequívocos; moneda y signo consistentes.</w:t>
      </w:r>
    </w:p>
    <w:p>
      <w:pPr>
        <w:spacing w:after="60" w:line="271" w:lineRule="auto"/>
        <w:keepLines/>
        <w:numPr>
          <w:ilvl w:val="0"/>
          <w:numId w:val="10"/>
        </w:numPr>
      </w:pPr>
      <w:r>
        <w:rPr>
          <w:rFonts w:ascii="Aptos" w:hAnsi="Aptos" w:eastAsia="Aptos"/>
          <w:color w:val="24323E"/>
          <w:sz w:val="20"/>
        </w:rPr>
        <w:t>Modo móvil prioritario para vecinos y escritorio productivo para profesionales; misma semántica y permisos.</w:t>
      </w:r>
    </w:p>
    <w:p>
      <w:pPr>
        <w:spacing w:after="60" w:line="271" w:lineRule="auto"/>
        <w:keepLines/>
        <w:numPr>
          <w:ilvl w:val="0"/>
          <w:numId w:val="10"/>
        </w:numPr>
      </w:pPr>
      <w:r>
        <w:rPr>
          <w:rFonts w:ascii="Aptos" w:hAnsi="Aptos" w:eastAsia="Aptos"/>
          <w:color w:val="24323E"/>
          <w:sz w:val="20"/>
        </w:rPr>
        <w:t>Deshacer cuando sea seguro; para operaciones contables, reversión trazada en vez de borrar.</w:t>
      </w:r>
    </w:p>
    <w:p>
      <w:pPr>
        <w:spacing w:after="60" w:line="271" w:lineRule="auto"/>
        <w:keepLines/>
        <w:numPr>
          <w:ilvl w:val="0"/>
          <w:numId w:val="10"/>
        </w:numPr>
      </w:pPr>
      <w:r>
        <w:rPr>
          <w:rFonts w:ascii="Aptos" w:hAnsi="Aptos" w:eastAsia="Aptos"/>
          <w:color w:val="24323E"/>
          <w:sz w:val="20"/>
        </w:rPr>
        <w:t>Confirmación reforzada escribiendo el nombre de la comunidad en exportaciones o revocaciones críticas.</w:t>
      </w:r>
    </w:p>
    <w:p>
      <w:pPr>
        <w:spacing w:after="60" w:line="271" w:lineRule="auto"/>
        <w:keepLines/>
        <w:numPr>
          <w:ilvl w:val="0"/>
          <w:numId w:val="10"/>
        </w:numPr>
      </w:pPr>
      <w:r>
        <w:rPr>
          <w:rFonts w:ascii="Aptos" w:hAnsi="Aptos" w:eastAsia="Aptos"/>
          <w:color w:val="24323E"/>
          <w:sz w:val="20"/>
        </w:rPr>
        <w:t>Pruebas con propietarios mayores, presidentes, administradores y personas con discapacidad antes del piloto.</w:t>
      </w:r>
    </w:p>
    <w:p>
      <w:bookmarkStart w:id="89" w:name="sec_079"/>
      <w:pPr>
        <w:pStyle w:val="Heading1"/>
        <w:keepLines/>
      </w:pPr>
      <w:r>
        <w:t>23. MVP y priorización</w:t>
      </w:r>
      <w:bookmarkEnd w:id="89"/>
    </w:p>
    <w:p>
      <w:bookmarkStart w:id="90" w:name="sec_080"/>
      <w:pPr>
        <w:pStyle w:val="Heading2"/>
        <w:keepLines/>
      </w:pPr>
      <w:r>
        <w:t>23.1 Alcance del MVP</w:t>
      </w:r>
      <w:bookmarkEnd w:id="90"/>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900"/>
        <w:gridCol w:w="7460"/>
      </w:tblGrid>
      <w:tr>
        <w:trPr>
          <w:cantSplit/>
          <w:trHeight w:hRule="atLeast"/>
          <w:tblHeader w:val="true"/>
          <w:cantSplit/>
        </w:trPr>
        <w:tc>
          <w:tcPr>
            <w:tcW w:type="dxa" w:w="19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Bloque</w:t>
            </w:r>
          </w:p>
        </w:tc>
        <w:tc>
          <w:tcPr>
            <w:tcW w:type="dxa" w:w="74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Incluido</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Fundación</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Alta de comunidad, estructura, unidades, personas, relaciones, cargos y administrador invitado</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Identidad</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Invitación, passkey/MFA, recuperación, sesiones, permisos y auditoría</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Economía</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Presupuesto, reglas, cuotas, recibos, movimientos importados, conciliación básica y saldos</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Gobierno</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Convocatoria, orden del día, asistencia, representación, votos presenciales, acuerdos y acta</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Operación</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Avisos, incidencias, asignación, mensajes, adjuntos, proveedores y cierre</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Documentos</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Archivo, versiones, clasificación, permisos, búsqueda y exportación</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Continuidad</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Transición de administrador, inventario, revocación y dossier</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Privacidad</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RAT básico, información, derechos, retención inicial, encargos y brechas</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Plataforma</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Observabilidad, backup, soporte JIT, importación CSV y exportación completa</w:t>
            </w:r>
          </w:p>
        </w:tc>
      </w:tr>
    </w:tbl>
    <w:p>
      <w:pPr>
        <w:keepLines/>
        <w:spacing w:after="0"/>
      </w:pPr>
    </w:p>
    <w:p>
      <w:bookmarkStart w:id="91" w:name="sec_081"/>
      <w:pPr>
        <w:pStyle w:val="Heading2"/>
        <w:keepLines/>
      </w:pPr>
      <w:r>
        <w:t>23.2 Fuera del MVP</w:t>
      </w:r>
      <w:bookmarkEnd w:id="91"/>
    </w:p>
    <w:p>
      <w:pPr>
        <w:spacing w:after="60" w:line="271" w:lineRule="auto"/>
        <w:keepLines/>
        <w:numPr>
          <w:ilvl w:val="0"/>
          <w:numId w:val="10"/>
        </w:numPr>
      </w:pPr>
      <w:r>
        <w:rPr>
          <w:rFonts w:ascii="Aptos" w:hAnsi="Aptos" w:eastAsia="Aptos"/>
          <w:color w:val="24323E"/>
          <w:sz w:val="20"/>
        </w:rPr>
        <w:t>Contabilidad fiscal completa para todas las casuísticas, nómina, videovigilancia, IoT, marketplace y voto remoto universal.</w:t>
      </w:r>
    </w:p>
    <w:p>
      <w:pPr>
        <w:spacing w:after="60" w:line="271" w:lineRule="auto"/>
        <w:keepLines/>
        <w:numPr>
          <w:ilvl w:val="0"/>
          <w:numId w:val="10"/>
        </w:numPr>
      </w:pPr>
      <w:r>
        <w:rPr>
          <w:rFonts w:ascii="Aptos" w:hAnsi="Aptos" w:eastAsia="Aptos"/>
          <w:color w:val="24323E"/>
          <w:sz w:val="20"/>
        </w:rPr>
        <w:t>Iniciación de pagos propia, custodia de fondos, modelos predictivos opacos y automatización jurídica sin revisión.</w:t>
      </w:r>
    </w:p>
    <w:p>
      <w:pPr>
        <w:spacing w:after="60" w:line="271" w:lineRule="auto"/>
        <w:keepLines/>
        <w:numPr>
          <w:ilvl w:val="0"/>
          <w:numId w:val="10"/>
        </w:numPr>
      </w:pPr>
      <w:r>
        <w:rPr>
          <w:rFonts w:ascii="Aptos" w:hAnsi="Aptos" w:eastAsia="Aptos"/>
          <w:color w:val="24323E"/>
          <w:sz w:val="20"/>
        </w:rPr>
        <w:t>Aplicaciones nativas separadas; comenzar con PWA de alta calidad y evaluar necesidad real.</w:t>
      </w:r>
    </w:p>
    <w:p>
      <w:bookmarkStart w:id="92" w:name="sec_082"/>
      <w:pPr>
        <w:pStyle w:val="Heading2"/>
        <w:keepLines/>
      </w:pPr>
      <w:r>
        <w:t>23.3 Criterios de salida a piloto</w:t>
      </w:r>
      <w:bookmarkEnd w:id="92"/>
    </w:p>
    <w:p>
      <w:pPr>
        <w:spacing w:after="60" w:line="271" w:lineRule="auto"/>
        <w:keepLines/>
        <w:numPr>
          <w:ilvl w:val="0"/>
          <w:numId w:val="10"/>
        </w:numPr>
      </w:pPr>
      <w:r>
        <w:rPr>
          <w:rFonts w:ascii="Aptos" w:hAnsi="Aptos" w:eastAsia="Aptos"/>
          <w:color w:val="24323E"/>
          <w:sz w:val="20"/>
        </w:rPr>
        <w:t>Pruebas de aislamiento multi-tenant y permisos sin hallazgos críticos/altos abiertos.</w:t>
      </w:r>
    </w:p>
    <w:p>
      <w:pPr>
        <w:spacing w:after="60" w:line="271" w:lineRule="auto"/>
        <w:keepLines/>
        <w:numPr>
          <w:ilvl w:val="0"/>
          <w:numId w:val="10"/>
        </w:numPr>
      </w:pPr>
      <w:r>
        <w:rPr>
          <w:rFonts w:ascii="Aptos" w:hAnsi="Aptos" w:eastAsia="Aptos"/>
          <w:color w:val="24323E"/>
          <w:sz w:val="20"/>
        </w:rPr>
        <w:t>Restauración completa demostrada y plan de incidentes ensayado.</w:t>
      </w:r>
    </w:p>
    <w:p>
      <w:pPr>
        <w:spacing w:after="60" w:line="271" w:lineRule="auto"/>
        <w:keepLines/>
        <w:numPr>
          <w:ilvl w:val="0"/>
          <w:numId w:val="10"/>
        </w:numPr>
      </w:pPr>
      <w:r>
        <w:rPr>
          <w:rFonts w:ascii="Aptos" w:hAnsi="Aptos" w:eastAsia="Aptos"/>
          <w:color w:val="24323E"/>
          <w:sz w:val="20"/>
        </w:rPr>
        <w:t>Importación y exportación verificadas con una comunidad real anonimizada o sintética representativa.</w:t>
      </w:r>
    </w:p>
    <w:p>
      <w:pPr>
        <w:spacing w:after="60" w:line="271" w:lineRule="auto"/>
        <w:keepLines/>
        <w:numPr>
          <w:ilvl w:val="0"/>
          <w:numId w:val="10"/>
        </w:numPr>
      </w:pPr>
      <w:r>
        <w:rPr>
          <w:rFonts w:ascii="Aptos" w:hAnsi="Aptos" w:eastAsia="Aptos"/>
          <w:color w:val="24323E"/>
          <w:sz w:val="20"/>
        </w:rPr>
        <w:t>Flujo completo de junta y cambio de administrador validado por especialista jurídico.</w:t>
      </w:r>
    </w:p>
    <w:p>
      <w:pPr>
        <w:spacing w:after="60" w:line="271" w:lineRule="auto"/>
        <w:keepLines/>
        <w:numPr>
          <w:ilvl w:val="0"/>
          <w:numId w:val="10"/>
        </w:numPr>
      </w:pPr>
      <w:r>
        <w:rPr>
          <w:rFonts w:ascii="Aptos" w:hAnsi="Aptos" w:eastAsia="Aptos"/>
          <w:color w:val="24323E"/>
          <w:sz w:val="20"/>
        </w:rPr>
        <w:t>Pruebas de usabilidad con éxito ≥ 85 % en tareas esenciales sin ayuda.</w:t>
      </w:r>
    </w:p>
    <w:p>
      <w:pPr>
        <w:spacing w:after="60" w:line="271" w:lineRule="auto"/>
        <w:keepLines/>
        <w:numPr>
          <w:ilvl w:val="0"/>
          <w:numId w:val="10"/>
        </w:numPr>
      </w:pPr>
      <w:r>
        <w:rPr>
          <w:rFonts w:ascii="Aptos" w:hAnsi="Aptos" w:eastAsia="Aptos"/>
          <w:color w:val="24323E"/>
          <w:sz w:val="20"/>
        </w:rPr>
        <w:t>Contratos de tratamiento, privacidad, términos, subencargados y soporte aprobados.</w:t>
      </w:r>
    </w:p>
    <w:p>
      <w:bookmarkStart w:id="93" w:name="sec_083"/>
      <w:pPr>
        <w:pStyle w:val="Heading1"/>
        <w:keepLines/>
      </w:pPr>
      <w:r>
        <w:t>24. Hoja de ruta propuesta</w:t>
      </w:r>
      <w:bookmarkEnd w:id="93"/>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450"/>
        <w:gridCol w:w="1350"/>
        <w:gridCol w:w="4360"/>
        <w:gridCol w:w="2200"/>
      </w:tblGrid>
      <w:tr>
        <w:trPr>
          <w:cantSplit/>
          <w:trHeight w:hRule="atLeast"/>
          <w:tblHeader w:val="true"/>
          <w:cantSplit/>
        </w:trPr>
        <w:tc>
          <w:tcPr>
            <w:tcW w:type="dxa" w:w="145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Fase</w:t>
            </w:r>
          </w:p>
        </w:tc>
        <w:tc>
          <w:tcPr>
            <w:tcW w:type="dxa" w:w="135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Duración</w:t>
            </w:r>
          </w:p>
        </w:tc>
        <w:tc>
          <w:tcPr>
            <w:tcW w:type="dxa" w:w="43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Entregables</w:t>
            </w:r>
          </w:p>
        </w:tc>
        <w:tc>
          <w:tcPr>
            <w:tcW w:type="dxa" w:w="22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Puerta</w:t>
            </w:r>
          </w:p>
        </w:tc>
      </w:tr>
      <w:tr>
        <w:trPr>
          <w:cantSplit/>
          <w:trHeight w:hRule="atLeast"/>
        </w:trPr>
        <w:tc>
          <w:tcPr>
            <w:tcW w:type="dxa" w:w="14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0. Descubrimiento</w:t>
            </w:r>
          </w:p>
        </w:tc>
        <w:tc>
          <w:tcPr>
            <w:tcW w:type="dxa" w:w="13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4–6 semanas</w:t>
            </w:r>
          </w:p>
        </w:tc>
        <w:tc>
          <w:tcPr>
            <w:tcW w:type="dxa" w:w="43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Entrevistas, mapa legal, prototipo, datos, amenazas y selección de pilotos</w:t>
            </w:r>
          </w:p>
        </w:tc>
        <w:tc>
          <w:tcPr>
            <w:tcW w:type="dxa" w:w="22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Go/no-go y alcance cerrado</w:t>
            </w:r>
          </w:p>
        </w:tc>
      </w:tr>
      <w:tr>
        <w:trPr>
          <w:cantSplit/>
          <w:trHeight w:hRule="atLeast"/>
        </w:trPr>
        <w:tc>
          <w:tcPr>
            <w:tcW w:type="dxa" w:w="14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1. Núcleo</w:t>
            </w:r>
          </w:p>
        </w:tc>
        <w:tc>
          <w:tcPr>
            <w:tcW w:type="dxa" w:w="13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8–10 semanas</w:t>
            </w:r>
          </w:p>
        </w:tc>
        <w:tc>
          <w:tcPr>
            <w:tcW w:type="dxa" w:w="43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Identidad, comunidad, estructura, censo, permisos, auditoría y documentos</w:t>
            </w:r>
          </w:p>
        </w:tc>
        <w:tc>
          <w:tcPr>
            <w:tcW w:type="dxa" w:w="22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Tenant seguro y navegable</w:t>
            </w:r>
          </w:p>
        </w:tc>
      </w:tr>
      <w:tr>
        <w:trPr>
          <w:cantSplit/>
          <w:trHeight w:hRule="atLeast"/>
        </w:trPr>
        <w:tc>
          <w:tcPr>
            <w:tcW w:type="dxa" w:w="14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2. MVP operativo</w:t>
            </w:r>
          </w:p>
        </w:tc>
        <w:tc>
          <w:tcPr>
            <w:tcW w:type="dxa" w:w="13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10–14 semanas</w:t>
            </w:r>
          </w:p>
        </w:tc>
        <w:tc>
          <w:tcPr>
            <w:tcW w:type="dxa" w:w="43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Economía básica, juntas, avisos, incidencias, proveedores y exportación</w:t>
            </w:r>
          </w:p>
        </w:tc>
        <w:tc>
          <w:tcPr>
            <w:tcW w:type="dxa" w:w="22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Piloto controlado</w:t>
            </w:r>
          </w:p>
        </w:tc>
      </w:tr>
      <w:tr>
        <w:trPr>
          <w:cantSplit/>
          <w:trHeight w:hRule="atLeast"/>
        </w:trPr>
        <w:tc>
          <w:tcPr>
            <w:tcW w:type="dxa" w:w="14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3. Continuidad</w:t>
            </w:r>
          </w:p>
        </w:tc>
        <w:tc>
          <w:tcPr>
            <w:tcW w:type="dxa" w:w="13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4–6 semanas</w:t>
            </w:r>
          </w:p>
        </w:tc>
        <w:tc>
          <w:tcPr>
            <w:tcW w:type="dxa" w:w="43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Transición de administrador, importadores, conciliación y compliance</w:t>
            </w:r>
          </w:p>
        </w:tc>
        <w:tc>
          <w:tcPr>
            <w:tcW w:type="dxa" w:w="22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Cambio real ensayado</w:t>
            </w:r>
          </w:p>
        </w:tc>
      </w:tr>
      <w:tr>
        <w:trPr>
          <w:cantSplit/>
          <w:trHeight w:hRule="atLeast"/>
        </w:trPr>
        <w:tc>
          <w:tcPr>
            <w:tcW w:type="dxa" w:w="14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4. Beta</w:t>
            </w:r>
          </w:p>
        </w:tc>
        <w:tc>
          <w:tcPr>
            <w:tcW w:type="dxa" w:w="13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8–12 semanas</w:t>
            </w:r>
          </w:p>
        </w:tc>
        <w:tc>
          <w:tcPr>
            <w:tcW w:type="dxa" w:w="43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Integraciones, rendimiento, soporte, onboarding y analítica</w:t>
            </w:r>
          </w:p>
        </w:tc>
        <w:tc>
          <w:tcPr>
            <w:tcW w:type="dxa" w:w="22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10–20 comunidades</w:t>
            </w:r>
          </w:p>
        </w:tc>
      </w:tr>
      <w:tr>
        <w:trPr>
          <w:cantSplit/>
          <w:trHeight w:hRule="atLeast"/>
        </w:trPr>
        <w:tc>
          <w:tcPr>
            <w:tcW w:type="dxa" w:w="14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5. Escala</w:t>
            </w:r>
          </w:p>
        </w:tc>
        <w:tc>
          <w:tcPr>
            <w:tcW w:type="dxa" w:w="13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Continuo</w:t>
            </w:r>
          </w:p>
        </w:tc>
        <w:tc>
          <w:tcPr>
            <w:tcW w:type="dxa" w:w="43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Despachos, API, contabilidad avanzada, proyectos, reservas e IA segura</w:t>
            </w:r>
          </w:p>
        </w:tc>
        <w:tc>
          <w:tcPr>
            <w:tcW w:type="dxa" w:w="22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Crecimiento con SLO</w:t>
            </w:r>
          </w:p>
        </w:tc>
      </w:tr>
    </w:tbl>
    <w:p>
      <w:pPr>
        <w:keepLines/>
        <w:spacing w:after="0"/>
      </w:pPr>
    </w:p>
    <w:p>
      <w:bookmarkStart w:id="94" w:name="sec_084"/>
      <w:pPr>
        <w:pStyle w:val="Heading2"/>
        <w:keepLines/>
      </w:pPr>
      <w:r>
        <w:t>24.1 Equipo mínimo orientativo</w:t>
      </w:r>
      <w:bookmarkEnd w:id="94"/>
    </w:p>
    <w:p>
      <w:pPr>
        <w:spacing w:after="60" w:line="271" w:lineRule="auto"/>
        <w:keepLines/>
        <w:numPr>
          <w:ilvl w:val="0"/>
          <w:numId w:val="10"/>
        </w:numPr>
      </w:pPr>
      <w:r>
        <w:rPr>
          <w:rFonts w:ascii="Aptos" w:hAnsi="Aptos" w:eastAsia="Aptos"/>
          <w:color w:val="24323E"/>
          <w:sz w:val="20"/>
        </w:rPr>
        <w:t>Product lead/fundador; product designer con accesibilidad; tech lead/backend; frontend; QA automation/security champion.</w:t>
      </w:r>
    </w:p>
    <w:p>
      <w:pPr>
        <w:spacing w:after="60" w:line="271" w:lineRule="auto"/>
        <w:keepLines/>
        <w:numPr>
          <w:ilvl w:val="0"/>
          <w:numId w:val="10"/>
        </w:numPr>
      </w:pPr>
      <w:r>
        <w:rPr>
          <w:rFonts w:ascii="Aptos" w:hAnsi="Aptos" w:eastAsia="Aptos"/>
          <w:color w:val="24323E"/>
          <w:sz w:val="20"/>
        </w:rPr>
        <w:t>Apoyo recurrente: administrador de fincas, abogado de propiedad horizontal, DPO/privacidad, contable y DevSecOps.</w:t>
      </w:r>
    </w:p>
    <w:p>
      <w:pPr>
        <w:spacing w:after="60" w:line="271" w:lineRule="auto"/>
        <w:keepLines/>
        <w:numPr>
          <w:ilvl w:val="0"/>
          <w:numId w:val="10"/>
        </w:numPr>
      </w:pPr>
      <w:r>
        <w:rPr>
          <w:rFonts w:ascii="Aptos" w:hAnsi="Aptos" w:eastAsia="Aptos"/>
          <w:color w:val="24323E"/>
          <w:sz w:val="20"/>
        </w:rPr>
        <w:t>En piloto: customer success/onboarding capaz de acompañar a presidentes y vecinos no técnicos.</w:t>
      </w:r>
    </w:p>
    <w:p>
      <w:bookmarkStart w:id="95" w:name="sec_085"/>
      <w:pPr>
        <w:pStyle w:val="Heading1"/>
        <w:keepLines/>
      </w:pPr>
      <w:r>
        <w:t>25. Modelo de negocio y gobernanza comercial</w:t>
      </w:r>
      <w:bookmarkEnd w:id="95"/>
    </w:p>
    <w:p>
      <w:bookmarkStart w:id="96" w:name="sec_086"/>
      <w:pPr>
        <w:pStyle w:val="Heading2"/>
        <w:keepLines/>
      </w:pPr>
      <w:r>
        <w:t>25.1 Cliente y pagador</w:t>
      </w:r>
      <w:bookmarkEnd w:id="96"/>
    </w:p>
    <w:p>
      <w:pPr>
        <w:keepLines/>
        <w:spacing w:before="0" w:after="80" w:line="269" w:lineRule="auto"/>
      </w:pPr>
      <w:r>
        <w:rPr>
          <w:rFonts w:ascii="Aptos" w:hAnsi="Aptos" w:eastAsia="Aptos"/>
          <w:b w:val="0"/>
          <w:i w:val="0"/>
          <w:color w:val="24323E"/>
          <w:sz w:val="21"/>
        </w:rPr>
        <w:t>El contrato principal recomendado es comunidad-plataforma, aunque el despacho pueda tramitarlo o asumir el coste. La factura y el derecho de continuidad deben poder pasar directamente a la comunidad sin renegociar el acceso a sus datos.</w:t>
      </w:r>
    </w:p>
    <w:p>
      <w:bookmarkStart w:id="97" w:name="sec_087"/>
      <w:pPr>
        <w:pStyle w:val="Heading2"/>
        <w:keepLines/>
      </w:pPr>
      <w:r>
        <w:t>25.2 Opciones de precio</w:t>
      </w:r>
      <w:bookmarkEnd w:id="97"/>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900"/>
        <w:gridCol w:w="2650"/>
        <w:gridCol w:w="4810"/>
      </w:tblGrid>
      <w:tr>
        <w:trPr>
          <w:cantSplit/>
          <w:trHeight w:hRule="atLeast"/>
          <w:tblHeader w:val="true"/>
          <w:cantSplit/>
        </w:trPr>
        <w:tc>
          <w:tcPr>
            <w:tcW w:type="dxa" w:w="19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Componente</w:t>
            </w:r>
          </w:p>
        </w:tc>
        <w:tc>
          <w:tcPr>
            <w:tcW w:type="dxa" w:w="265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Métrica</w:t>
            </w:r>
          </w:p>
        </w:tc>
        <w:tc>
          <w:tcPr>
            <w:tcW w:type="dxa" w:w="481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Razonamiento</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Base por comunidad</w:t>
            </w:r>
          </w:p>
        </w:tc>
        <w:tc>
          <w:tcPr>
            <w:tcW w:type="dxa" w:w="26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Cuota mínima mensual</w:t>
            </w:r>
          </w:p>
        </w:tc>
        <w:tc>
          <w:tcPr>
            <w:tcW w:type="dxa" w:w="481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Cubre infraestructura, soporte y continuidad para fincas pequeñas</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Por unidad</w:t>
            </w:r>
          </w:p>
        </w:tc>
        <w:tc>
          <w:tcPr>
            <w:tcW w:type="dxa" w:w="26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Tramo decreciente por vivienda/local</w:t>
            </w:r>
          </w:p>
        </w:tc>
        <w:tc>
          <w:tcPr>
            <w:tcW w:type="dxa" w:w="481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Escala con el valor y tamaño</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Módulos</w:t>
            </w:r>
          </w:p>
        </w:tc>
        <w:tc>
          <w:tcPr>
            <w:tcW w:type="dxa" w:w="26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Contabilidad avanzada, firma, SMS, proyectos, reservas</w:t>
            </w:r>
          </w:p>
        </w:tc>
        <w:tc>
          <w:tcPr>
            <w:tcW w:type="dxa" w:w="481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Costes variables y funciones especializadas</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Plan despacho</w:t>
            </w:r>
          </w:p>
        </w:tc>
        <w:tc>
          <w:tcPr>
            <w:tcW w:type="dxa" w:w="26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Consola de cartera y automatización</w:t>
            </w:r>
          </w:p>
        </w:tc>
        <w:tc>
          <w:tcPr>
            <w:tcW w:type="dxa" w:w="481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Lo paga el profesional, sin apropiarse de los tenants</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Servicios</w:t>
            </w:r>
          </w:p>
        </w:tc>
        <w:tc>
          <w:tcPr>
            <w:tcW w:type="dxa" w:w="26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Migración, digitalización, formación y auditoría</w:t>
            </w:r>
          </w:p>
        </w:tc>
        <w:tc>
          <w:tcPr>
            <w:tcW w:type="dxa" w:w="481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Ingreso puntual y reducción del riesgo de implantación</w:t>
            </w:r>
          </w:p>
        </w:tc>
      </w:tr>
    </w:tbl>
    <w:p>
      <w:pPr>
        <w:keepLines/>
        <w:spacing w:after="0"/>
      </w:pPr>
    </w:p>
    <w:p>
      <w:bookmarkStart w:id="98" w:name="sec_088"/>
      <w:pPr>
        <w:pStyle w:val="Heading2"/>
        <w:keepLines/>
      </w:pPr>
      <w:r>
        <w:t>25.3 Cláusulas de confianza</w:t>
      </w:r>
      <w:bookmarkEnd w:id="98"/>
    </w:p>
    <w:p>
      <w:pPr>
        <w:spacing w:after="60" w:line="271" w:lineRule="auto"/>
        <w:keepLines/>
        <w:numPr>
          <w:ilvl w:val="0"/>
          <w:numId w:val="10"/>
        </w:numPr>
      </w:pPr>
      <w:r>
        <w:rPr>
          <w:rFonts w:ascii="Aptos" w:hAnsi="Aptos" w:eastAsia="Aptos"/>
          <w:color w:val="24323E"/>
          <w:sz w:val="20"/>
        </w:rPr>
        <w:t>Portabilidad completa incluida y documentada; precio razonable para servicios extraordinarios, nunca rescate de datos.</w:t>
      </w:r>
    </w:p>
    <w:p>
      <w:pPr>
        <w:spacing w:after="60" w:line="271" w:lineRule="auto"/>
        <w:keepLines/>
        <w:numPr>
          <w:ilvl w:val="0"/>
          <w:numId w:val="10"/>
        </w:numPr>
      </w:pPr>
      <w:r>
        <w:rPr>
          <w:rFonts w:ascii="Aptos" w:hAnsi="Aptos" w:eastAsia="Aptos"/>
          <w:color w:val="24323E"/>
          <w:sz w:val="20"/>
        </w:rPr>
        <w:t>Lista pública de subencargados y regiones; aviso previo de cambios materiales.</w:t>
      </w:r>
    </w:p>
    <w:p>
      <w:pPr>
        <w:spacing w:after="60" w:line="271" w:lineRule="auto"/>
        <w:keepLines/>
        <w:numPr>
          <w:ilvl w:val="0"/>
          <w:numId w:val="10"/>
        </w:numPr>
      </w:pPr>
      <w:r>
        <w:rPr>
          <w:rFonts w:ascii="Aptos" w:hAnsi="Aptos" w:eastAsia="Aptos"/>
          <w:color w:val="24323E"/>
          <w:sz w:val="20"/>
        </w:rPr>
        <w:t>Sin publicidad dirigida ni comercialización de datos de vecinos.</w:t>
      </w:r>
    </w:p>
    <w:p>
      <w:pPr>
        <w:spacing w:after="60" w:line="271" w:lineRule="auto"/>
        <w:keepLines/>
        <w:numPr>
          <w:ilvl w:val="0"/>
          <w:numId w:val="10"/>
        </w:numPr>
      </w:pPr>
      <w:r>
        <w:rPr>
          <w:rFonts w:ascii="Aptos" w:hAnsi="Aptos" w:eastAsia="Aptos"/>
          <w:color w:val="24323E"/>
          <w:sz w:val="20"/>
        </w:rPr>
        <w:t>Plan de salida de la propia plataforma: exportación, ventana de transición y borrado verificable.</w:t>
      </w:r>
    </w:p>
    <w:p>
      <w:pPr>
        <w:spacing w:after="60" w:line="271" w:lineRule="auto"/>
        <w:keepLines/>
        <w:numPr>
          <w:ilvl w:val="0"/>
          <w:numId w:val="10"/>
        </w:numPr>
      </w:pPr>
      <w:r>
        <w:rPr>
          <w:rFonts w:ascii="Aptos" w:hAnsi="Aptos" w:eastAsia="Aptos"/>
          <w:color w:val="24323E"/>
          <w:sz w:val="20"/>
        </w:rPr>
        <w:t>Propiedad intelectual del software para el operador; datos, documentos y contenidos comunitarios permanecen bajo control de la comunidad y sus titulares.</w:t>
      </w:r>
    </w:p>
    <w:p>
      <w:bookmarkStart w:id="99" w:name="sec_089"/>
      <w:pPr>
        <w:pStyle w:val="Heading1"/>
        <w:keepLines/>
      </w:pPr>
      <w:r>
        <w:t>26. Métricas, analítica y observabilidad de producto</w:t>
      </w:r>
      <w:bookmarkEnd w:id="99"/>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700"/>
        <w:gridCol w:w="4050"/>
        <w:gridCol w:w="3610"/>
      </w:tblGrid>
      <w:tr>
        <w:trPr>
          <w:cantSplit/>
          <w:trHeight w:hRule="atLeast"/>
          <w:tblHeader w:val="true"/>
          <w:cantSplit/>
        </w:trPr>
        <w:tc>
          <w:tcPr>
            <w:tcW w:type="dxa" w:w="17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Objetivo</w:t>
            </w:r>
          </w:p>
        </w:tc>
        <w:tc>
          <w:tcPr>
            <w:tcW w:type="dxa" w:w="405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Indicador</w:t>
            </w:r>
          </w:p>
        </w:tc>
        <w:tc>
          <w:tcPr>
            <w:tcW w:type="dxa" w:w="361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Uso</w:t>
            </w:r>
          </w:p>
        </w:tc>
      </w:tr>
      <w:tr>
        <w:trPr>
          <w:cantSplit/>
          <w:trHeight w:hRule="atLeast"/>
        </w:trPr>
        <w:tc>
          <w:tcPr>
            <w:tcW w:type="dxa" w:w="17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Activación</w:t>
            </w:r>
          </w:p>
        </w:tc>
        <w:tc>
          <w:tcPr>
            <w:tcW w:type="dxa" w:w="40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 comunidades con estructura, cargos, banco/importación, primera cuota y primer aviso</w:t>
            </w:r>
          </w:p>
        </w:tc>
        <w:tc>
          <w:tcPr>
            <w:tcW w:type="dxa" w:w="361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Mide implantación real, no cuentas creadas</w:t>
            </w:r>
          </w:p>
        </w:tc>
      </w:tr>
      <w:tr>
        <w:trPr>
          <w:cantSplit/>
          <w:trHeight w:hRule="atLeast"/>
        </w:trPr>
        <w:tc>
          <w:tcPr>
            <w:tcW w:type="dxa" w:w="17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Adopción vecino</w:t>
            </w:r>
          </w:p>
        </w:tc>
        <w:tc>
          <w:tcPr>
            <w:tcW w:type="dxa" w:w="40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 usuarios activos y tareas completadas por canal</w:t>
            </w:r>
          </w:p>
        </w:tc>
        <w:tc>
          <w:tcPr>
            <w:tcW w:type="dxa" w:w="361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Segmentar sin perfilar de forma invasiva</w:t>
            </w:r>
          </w:p>
        </w:tc>
      </w:tr>
      <w:tr>
        <w:trPr>
          <w:cantSplit/>
          <w:trHeight w:hRule="atLeast"/>
        </w:trPr>
        <w:tc>
          <w:tcPr>
            <w:tcW w:type="dxa" w:w="17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Eficiencia</w:t>
            </w:r>
          </w:p>
        </w:tc>
        <w:tc>
          <w:tcPr>
            <w:tcW w:type="dxa" w:w="40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Tiempo para conciliar, emitir recibos, cerrar incidencia y preparar Junta</w:t>
            </w:r>
          </w:p>
        </w:tc>
        <w:tc>
          <w:tcPr>
            <w:tcW w:type="dxa" w:w="361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Valor al profesional y la presidencia</w:t>
            </w:r>
          </w:p>
        </w:tc>
      </w:tr>
      <w:tr>
        <w:trPr>
          <w:cantSplit/>
          <w:trHeight w:hRule="atLeast"/>
        </w:trPr>
        <w:tc>
          <w:tcPr>
            <w:tcW w:type="dxa" w:w="17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Continuidad</w:t>
            </w:r>
          </w:p>
        </w:tc>
        <w:tc>
          <w:tcPr>
            <w:tcW w:type="dxa" w:w="40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Tiempo de cambio, faltantes del dossier, accesos residuales</w:t>
            </w:r>
          </w:p>
        </w:tc>
        <w:tc>
          <w:tcPr>
            <w:tcW w:type="dxa" w:w="361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Métrica diferenciadora</w:t>
            </w:r>
          </w:p>
        </w:tc>
      </w:tr>
      <w:tr>
        <w:trPr>
          <w:cantSplit/>
          <w:trHeight w:hRule="atLeast"/>
        </w:trPr>
        <w:tc>
          <w:tcPr>
            <w:tcW w:type="dxa" w:w="17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Transparencia</w:t>
            </w:r>
          </w:p>
        </w:tc>
        <w:tc>
          <w:tcPr>
            <w:tcW w:type="dxa" w:w="40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 cargos explicables y documentos vinculados</w:t>
            </w:r>
          </w:p>
        </w:tc>
        <w:tc>
          <w:tcPr>
            <w:tcW w:type="dxa" w:w="361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Calidad y confianza</w:t>
            </w:r>
          </w:p>
        </w:tc>
      </w:tr>
      <w:tr>
        <w:trPr>
          <w:cantSplit/>
          <w:trHeight w:hRule="atLeast"/>
        </w:trPr>
        <w:tc>
          <w:tcPr>
            <w:tcW w:type="dxa" w:w="17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Privacidad</w:t>
            </w:r>
          </w:p>
        </w:tc>
        <w:tc>
          <w:tcPr>
            <w:tcW w:type="dxa" w:w="40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Accesos denegados correctos, derechos en plazo, retención y brechas</w:t>
            </w:r>
          </w:p>
        </w:tc>
        <w:tc>
          <w:tcPr>
            <w:tcW w:type="dxa" w:w="361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Cumplimiento operativo</w:t>
            </w:r>
          </w:p>
        </w:tc>
      </w:tr>
      <w:tr>
        <w:trPr>
          <w:cantSplit/>
          <w:trHeight w:hRule="atLeast"/>
        </w:trPr>
        <w:tc>
          <w:tcPr>
            <w:tcW w:type="dxa" w:w="17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Fiabilidad</w:t>
            </w:r>
          </w:p>
        </w:tc>
        <w:tc>
          <w:tcPr>
            <w:tcW w:type="dxa" w:w="40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Disponibilidad, latencia, errores, entrega de notificaciones, RPO/RTO</w:t>
            </w:r>
          </w:p>
        </w:tc>
        <w:tc>
          <w:tcPr>
            <w:tcW w:type="dxa" w:w="361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SLO por función</w:t>
            </w:r>
          </w:p>
        </w:tc>
      </w:tr>
      <w:tr>
        <w:trPr>
          <w:cantSplit/>
          <w:trHeight w:hRule="atLeast"/>
        </w:trPr>
        <w:tc>
          <w:tcPr>
            <w:tcW w:type="dxa" w:w="17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Negocio</w:t>
            </w:r>
          </w:p>
        </w:tc>
        <w:tc>
          <w:tcPr>
            <w:tcW w:type="dxa" w:w="40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MRR, churn de comunidad, expansión, coste soporte y recuperación</w:t>
            </w:r>
          </w:p>
        </w:tc>
        <w:tc>
          <w:tcPr>
            <w:tcW w:type="dxa" w:w="361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Sostenibilidad</w:t>
            </w:r>
          </w:p>
        </w:tc>
      </w:tr>
    </w:tbl>
    <w:p>
      <w:pPr>
        <w:keepLines/>
        <w:spacing w:after="0"/>
      </w:pPr>
    </w:p>
    <w:p>
      <w:bookmarkStart w:id="100" w:name="sec_090"/>
      <w:pPr>
        <w:pStyle w:val="Heading2"/>
        <w:keepLines/>
      </w:pPr>
      <w:r>
        <w:t>26.1 Privacidad analítica</w:t>
      </w:r>
      <w:bookmarkEnd w:id="100"/>
    </w:p>
    <w:p>
      <w:pPr>
        <w:spacing w:after="60" w:line="271" w:lineRule="auto"/>
        <w:keepLines/>
        <w:numPr>
          <w:ilvl w:val="0"/>
          <w:numId w:val="10"/>
        </w:numPr>
      </w:pPr>
      <w:r>
        <w:rPr>
          <w:rFonts w:ascii="Aptos" w:hAnsi="Aptos" w:eastAsia="Aptos"/>
          <w:color w:val="24323E"/>
          <w:sz w:val="20"/>
        </w:rPr>
        <w:t>Eventos mínimos y con identificadores seudónimos; no capturar texto libre, documentos, saldos o direcciones en analítica general.</w:t>
      </w:r>
    </w:p>
    <w:p>
      <w:pPr>
        <w:spacing w:after="60" w:line="271" w:lineRule="auto"/>
        <w:keepLines/>
        <w:numPr>
          <w:ilvl w:val="0"/>
          <w:numId w:val="10"/>
        </w:numPr>
      </w:pPr>
      <w:r>
        <w:rPr>
          <w:rFonts w:ascii="Aptos" w:hAnsi="Aptos" w:eastAsia="Aptos"/>
          <w:color w:val="24323E"/>
          <w:sz w:val="20"/>
        </w:rPr>
        <w:t>Desactivar grabación de sesión en áreas sensibles; nunca registrar contraseñas, IBAN, votos o documentos.</w:t>
      </w:r>
    </w:p>
    <w:p>
      <w:pPr>
        <w:spacing w:after="60" w:line="271" w:lineRule="auto"/>
        <w:keepLines/>
        <w:numPr>
          <w:ilvl w:val="0"/>
          <w:numId w:val="10"/>
        </w:numPr>
      </w:pPr>
      <w:r>
        <w:rPr>
          <w:rFonts w:ascii="Aptos" w:hAnsi="Aptos" w:eastAsia="Aptos"/>
          <w:color w:val="24323E"/>
          <w:sz w:val="20"/>
        </w:rPr>
        <w:t>Paneles agregados y umbrales para impedir reidentificación en comunidades pequeñas.</w:t>
      </w:r>
    </w:p>
    <w:p>
      <w:bookmarkStart w:id="101" w:name="sec_091"/>
      <w:pPr>
        <w:pStyle w:val="Heading1"/>
        <w:keepLines/>
      </w:pPr>
      <w:r>
        <w:t>27. Riesgos del proyecto y mitigaciones</w:t>
      </w:r>
      <w:bookmarkEnd w:id="101"/>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500"/>
        <w:gridCol w:w="2700"/>
        <w:gridCol w:w="900"/>
        <w:gridCol w:w="4260"/>
      </w:tblGrid>
      <w:tr>
        <w:trPr>
          <w:cantSplit/>
          <w:trHeight w:hRule="atLeast"/>
          <w:tblHeader w:val="true"/>
          <w:cantSplit/>
        </w:trPr>
        <w:tc>
          <w:tcPr>
            <w:tcW w:type="dxa" w:w="15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Área</w:t>
            </w:r>
          </w:p>
        </w:tc>
        <w:tc>
          <w:tcPr>
            <w:tcW w:type="dxa" w:w="27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Riesgo</w:t>
            </w:r>
          </w:p>
        </w:tc>
        <w:tc>
          <w:tcPr>
            <w:tcW w:type="dxa" w:w="9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Nivel</w:t>
            </w:r>
          </w:p>
        </w:tc>
        <w:tc>
          <w:tcPr>
            <w:tcW w:type="dxa" w:w="42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Mitigación</w:t>
            </w:r>
          </w:p>
        </w:tc>
      </w:tr>
      <w:tr>
        <w:trPr>
          <w:cantSplit/>
          <w:trHeight w:hRule="atLeast"/>
        </w:trPr>
        <w:tc>
          <w:tcPr>
            <w:tcW w:type="dxa" w:w="15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Jurídico</w:t>
            </w:r>
          </w:p>
        </w:tc>
        <w:tc>
          <w:tcPr>
            <w:tcW w:type="dxa" w:w="27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Reglas de mayorías o voto remoto incorrectas</w:t>
            </w:r>
          </w:p>
        </w:tc>
        <w:tc>
          <w:tcPr>
            <w:tcW w:type="dxa" w:w="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Alta</w:t>
            </w:r>
          </w:p>
        </w:tc>
        <w:tc>
          <w:tcPr>
            <w:tcW w:type="dxa" w:w="42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Motor versionado, territorial, explicación y revisión humana</w:t>
            </w:r>
          </w:p>
        </w:tc>
      </w:tr>
      <w:tr>
        <w:trPr>
          <w:cantSplit/>
          <w:trHeight w:hRule="atLeast"/>
        </w:trPr>
        <w:tc>
          <w:tcPr>
            <w:tcW w:type="dxa" w:w="15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Privacidad</w:t>
            </w:r>
          </w:p>
        </w:tc>
        <w:tc>
          <w:tcPr>
            <w:tcW w:type="dxa" w:w="27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Acceso excesivo entre vecinos o comunidades</w:t>
            </w:r>
          </w:p>
        </w:tc>
        <w:tc>
          <w:tcPr>
            <w:tcW w:type="dxa" w:w="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Crítica</w:t>
            </w:r>
          </w:p>
        </w:tc>
        <w:tc>
          <w:tcPr>
            <w:tcW w:type="dxa" w:w="42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ABAC/RLS, pruebas negativas, minimización y auditoría</w:t>
            </w:r>
          </w:p>
        </w:tc>
      </w:tr>
      <w:tr>
        <w:trPr>
          <w:cantSplit/>
          <w:trHeight w:hRule="atLeast"/>
        </w:trPr>
        <w:tc>
          <w:tcPr>
            <w:tcW w:type="dxa" w:w="15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Financiero</w:t>
            </w:r>
          </w:p>
        </w:tc>
        <w:tc>
          <w:tcPr>
            <w:tcW w:type="dxa" w:w="27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Fraude de proveedor o saldo erróneo</w:t>
            </w:r>
          </w:p>
        </w:tc>
        <w:tc>
          <w:tcPr>
            <w:tcW w:type="dxa" w:w="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Crítica</w:t>
            </w:r>
          </w:p>
        </w:tc>
        <w:tc>
          <w:tcPr>
            <w:tcW w:type="dxa" w:w="42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Doble control, conciliación, reversión y alertas</w:t>
            </w:r>
          </w:p>
        </w:tc>
      </w:tr>
      <w:tr>
        <w:trPr>
          <w:cantSplit/>
          <w:trHeight w:hRule="atLeast"/>
        </w:trPr>
        <w:tc>
          <w:tcPr>
            <w:tcW w:type="dxa" w:w="15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Adopción</w:t>
            </w:r>
          </w:p>
        </w:tc>
        <w:tc>
          <w:tcPr>
            <w:tcW w:type="dxa" w:w="27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Vecinos mayores no usan la app</w:t>
            </w:r>
          </w:p>
        </w:tc>
        <w:tc>
          <w:tcPr>
            <w:tcW w:type="dxa" w:w="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Alta</w:t>
            </w:r>
          </w:p>
        </w:tc>
        <w:tc>
          <w:tcPr>
            <w:tcW w:type="dxa" w:w="42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Modo sencillo, alternativas, formación y pruebas reales</w:t>
            </w:r>
          </w:p>
        </w:tc>
      </w:tr>
      <w:tr>
        <w:trPr>
          <w:cantSplit/>
          <w:trHeight w:hRule="atLeast"/>
        </w:trPr>
        <w:tc>
          <w:tcPr>
            <w:tcW w:type="dxa" w:w="15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Canal</w:t>
            </w:r>
          </w:p>
        </w:tc>
        <w:tc>
          <w:tcPr>
            <w:tcW w:type="dxa" w:w="27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Administradores perciben amenaza</w:t>
            </w:r>
          </w:p>
        </w:tc>
        <w:tc>
          <w:tcPr>
            <w:tcW w:type="dxa" w:w="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Alta</w:t>
            </w:r>
          </w:p>
        </w:tc>
        <w:tc>
          <w:tcPr>
            <w:tcW w:type="dxa" w:w="42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Consola profesional, productividad, neutralidad y modelo partner</w:t>
            </w:r>
          </w:p>
        </w:tc>
      </w:tr>
      <w:tr>
        <w:trPr>
          <w:cantSplit/>
          <w:trHeight w:hRule="atLeast"/>
        </w:trPr>
        <w:tc>
          <w:tcPr>
            <w:tcW w:type="dxa" w:w="15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Migración</w:t>
            </w:r>
          </w:p>
        </w:tc>
        <w:tc>
          <w:tcPr>
            <w:tcW w:type="dxa" w:w="27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Datos de origen incompletos</w:t>
            </w:r>
          </w:p>
        </w:tc>
        <w:tc>
          <w:tcPr>
            <w:tcW w:type="dxa" w:w="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Alta</w:t>
            </w:r>
          </w:p>
        </w:tc>
        <w:tc>
          <w:tcPr>
            <w:tcW w:type="dxa" w:w="42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Staging, informe de calidad, reconciliación y reservas firmadas</w:t>
            </w:r>
          </w:p>
        </w:tc>
      </w:tr>
      <w:tr>
        <w:trPr>
          <w:cantSplit/>
          <w:trHeight w:hRule="atLeast"/>
        </w:trPr>
        <w:tc>
          <w:tcPr>
            <w:tcW w:type="dxa" w:w="15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Seguridad</w:t>
            </w:r>
          </w:p>
        </w:tc>
        <w:tc>
          <w:tcPr>
            <w:tcW w:type="dxa" w:w="27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Ransomware o robo de credenciales</w:t>
            </w:r>
          </w:p>
        </w:tc>
        <w:tc>
          <w:tcPr>
            <w:tcW w:type="dxa" w:w="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Crítica</w:t>
            </w:r>
          </w:p>
        </w:tc>
        <w:tc>
          <w:tcPr>
            <w:tcW w:type="dxa" w:w="42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MFA/passkeys, copias inmutables, JIT, EDR/SIEM y ensayos</w:t>
            </w:r>
          </w:p>
        </w:tc>
      </w:tr>
      <w:tr>
        <w:trPr>
          <w:cantSplit/>
          <w:trHeight w:hRule="atLeast"/>
        </w:trPr>
        <w:tc>
          <w:tcPr>
            <w:tcW w:type="dxa" w:w="15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Complejidad</w:t>
            </w:r>
          </w:p>
        </w:tc>
        <w:tc>
          <w:tcPr>
            <w:tcW w:type="dxa" w:w="27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Intentar construir todo desde el inicio</w:t>
            </w:r>
          </w:p>
        </w:tc>
        <w:tc>
          <w:tcPr>
            <w:tcW w:type="dxa" w:w="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Alta</w:t>
            </w:r>
          </w:p>
        </w:tc>
        <w:tc>
          <w:tcPr>
            <w:tcW w:type="dxa" w:w="42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MVP, módulos, feature flags y puertas de fase</w:t>
            </w:r>
          </w:p>
        </w:tc>
      </w:tr>
      <w:tr>
        <w:trPr>
          <w:cantSplit/>
          <w:trHeight w:hRule="atLeast"/>
        </w:trPr>
        <w:tc>
          <w:tcPr>
            <w:tcW w:type="dxa" w:w="15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Dependencia</w:t>
            </w:r>
          </w:p>
        </w:tc>
        <w:tc>
          <w:tcPr>
            <w:tcW w:type="dxa" w:w="27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Proveedor cloud/firma/banco</w:t>
            </w:r>
          </w:p>
        </w:tc>
        <w:tc>
          <w:tcPr>
            <w:tcW w:type="dxa" w:w="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Media</w:t>
            </w:r>
          </w:p>
        </w:tc>
        <w:tc>
          <w:tcPr>
            <w:tcW w:type="dxa" w:w="42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Interfaces, exportación, alternativas y plan de sustitución</w:t>
            </w:r>
          </w:p>
        </w:tc>
      </w:tr>
      <w:tr>
        <w:trPr>
          <w:cantSplit/>
          <w:trHeight w:hRule="atLeast"/>
        </w:trPr>
        <w:tc>
          <w:tcPr>
            <w:tcW w:type="dxa" w:w="15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IA</w:t>
            </w:r>
          </w:p>
        </w:tc>
        <w:tc>
          <w:tcPr>
            <w:tcW w:type="dxa" w:w="27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Alucinación o fuga de contexto</w:t>
            </w:r>
          </w:p>
        </w:tc>
        <w:tc>
          <w:tcPr>
            <w:tcW w:type="dxa" w:w="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Alta</w:t>
            </w:r>
          </w:p>
        </w:tc>
        <w:tc>
          <w:tcPr>
            <w:tcW w:type="dxa" w:w="42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Citas, permisos previos, no acciones autónomas y evals</w:t>
            </w:r>
          </w:p>
        </w:tc>
      </w:tr>
    </w:tbl>
    <w:p>
      <w:pPr>
        <w:keepLines/>
        <w:spacing w:after="0"/>
      </w:pPr>
    </w:p>
    <w:p>
      <w:bookmarkStart w:id="102" w:name="sec_092"/>
      <w:pPr>
        <w:pStyle w:val="Heading1"/>
        <w:keepLines/>
      </w:pPr>
      <w:r>
        <w:t>28. Decisiones pendientes y plan inmediato</w:t>
      </w:r>
      <w:bookmarkEnd w:id="102"/>
    </w:p>
    <w:p>
      <w:bookmarkStart w:id="103" w:name="sec_093"/>
      <w:pPr>
        <w:pStyle w:val="Heading2"/>
        <w:keepLines/>
      </w:pPr>
      <w:r>
        <w:t>28.1 Decisiones de fundador</w:t>
      </w:r>
      <w:bookmarkEnd w:id="103"/>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900"/>
        <w:gridCol w:w="7460"/>
      </w:tblGrid>
      <w:tr>
        <w:trPr>
          <w:cantSplit/>
          <w:trHeight w:hRule="atLeast"/>
          <w:tblHeader w:val="true"/>
          <w:cantSplit/>
        </w:trPr>
        <w:tc>
          <w:tcPr>
            <w:tcW w:type="dxa" w:w="19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Decisión</w:t>
            </w:r>
          </w:p>
        </w:tc>
        <w:tc>
          <w:tcPr>
            <w:tcW w:type="dxa" w:w="74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Pregunta</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Marca</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Validar «Comunidad Conecta», dominio, marca registrada y narrativa</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Cliente inicial</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Comunidad directa, despacho partner o ambos; quién firma y paga</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Piloto</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Tamaño, topología, comunidad real, administrador colaborador y datos disponibles</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Contabilidad</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Libro completo en MVP o economía operativa con exportación a asesoría</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Identidad</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Proveedor gestionado vs. propio; passkeys y verificación asistida</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Alojamiento</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Cloud/región UE, estrategia de backup y requisitos de soberanía</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Legal</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Jurisdicción inicial y despacho especialista que valida juntas, deuda y transición</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Pagos</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Solo conciliación/remesas o iniciación mediante tercero regulado</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Código</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8"/>
              </w:rPr>
              <w:t>Repositorio, licencia, estrategia multi-tenant y estándar de contribución</w:t>
            </w:r>
          </w:p>
        </w:tc>
      </w:tr>
    </w:tbl>
    <w:p>
      <w:pPr>
        <w:keepLines/>
        <w:spacing w:after="0"/>
      </w:pPr>
    </w:p>
    <w:p>
      <w:bookmarkStart w:id="104" w:name="sec_094"/>
      <w:pPr>
        <w:pStyle w:val="Heading2"/>
        <w:keepLines/>
      </w:pPr>
      <w:r>
        <w:t>28.2 Próximos 30 días</w:t>
      </w:r>
      <w:bookmarkEnd w:id="104"/>
    </w:p>
    <w:p>
      <w:pPr>
        <w:spacing w:after="60" w:line="271" w:lineRule="auto"/>
        <w:keepLines/>
        <w:numPr>
          <w:ilvl w:val="0"/>
          <w:numId w:val="13"/>
        </w:numPr>
      </w:pPr>
      <w:r>
        <w:rPr>
          <w:rFonts w:ascii="Aptos" w:hAnsi="Aptos" w:eastAsia="Aptos"/>
          <w:color w:val="24323E"/>
          <w:sz w:val="20"/>
        </w:rPr>
        <w:t>Entrevistar a 5 presidentes, 5 propietarios de perfiles diversos y 3 administradores; observar procesos y documentos reales.</w:t>
      </w:r>
    </w:p>
    <w:p>
      <w:pPr>
        <w:spacing w:after="60" w:line="271" w:lineRule="auto"/>
        <w:keepLines/>
        <w:numPr>
          <w:ilvl w:val="0"/>
          <w:numId w:val="13"/>
        </w:numPr>
      </w:pPr>
      <w:r>
        <w:rPr>
          <w:rFonts w:ascii="Aptos" w:hAnsi="Aptos" w:eastAsia="Aptos"/>
          <w:color w:val="24323E"/>
          <w:sz w:val="20"/>
        </w:rPr>
        <w:t>Seleccionar una comunidad piloto con cambio de administrador reciente o previsible y obtener autorización para trabajar con datos anonimizados.</w:t>
      </w:r>
    </w:p>
    <w:p>
      <w:pPr>
        <w:spacing w:after="60" w:line="271" w:lineRule="auto"/>
        <w:keepLines/>
        <w:numPr>
          <w:ilvl w:val="0"/>
          <w:numId w:val="13"/>
        </w:numPr>
      </w:pPr>
      <w:r>
        <w:rPr>
          <w:rFonts w:ascii="Aptos" w:hAnsi="Aptos" w:eastAsia="Aptos"/>
          <w:color w:val="24323E"/>
          <w:sz w:val="20"/>
        </w:rPr>
        <w:t>Contratar revisión legal y de privacidad de los capítulos 9, 14, 15 y 16.</w:t>
      </w:r>
    </w:p>
    <w:p>
      <w:pPr>
        <w:spacing w:after="60" w:line="271" w:lineRule="auto"/>
        <w:keepLines/>
        <w:numPr>
          <w:ilvl w:val="0"/>
          <w:numId w:val="13"/>
        </w:numPr>
      </w:pPr>
      <w:r>
        <w:rPr>
          <w:rFonts w:ascii="Aptos" w:hAnsi="Aptos" w:eastAsia="Aptos"/>
          <w:color w:val="24323E"/>
          <w:sz w:val="20"/>
        </w:rPr>
        <w:t>Diseñar prototipo navegable de Inicio, Mi saldo, Junta, Incidencia y Cambio de administrador.</w:t>
      </w:r>
    </w:p>
    <w:p>
      <w:pPr>
        <w:spacing w:after="60" w:line="271" w:lineRule="auto"/>
        <w:keepLines/>
        <w:numPr>
          <w:ilvl w:val="0"/>
          <w:numId w:val="13"/>
        </w:numPr>
      </w:pPr>
      <w:r>
        <w:rPr>
          <w:rFonts w:ascii="Aptos" w:hAnsi="Aptos" w:eastAsia="Aptos"/>
          <w:color w:val="24323E"/>
          <w:sz w:val="20"/>
        </w:rPr>
        <w:t>Probar el prototipo con personas mayores y medir éxito, tiempo, errores y comprensión.</w:t>
      </w:r>
    </w:p>
    <w:p>
      <w:pPr>
        <w:spacing w:after="60" w:line="271" w:lineRule="auto"/>
        <w:keepLines/>
        <w:numPr>
          <w:ilvl w:val="0"/>
          <w:numId w:val="13"/>
        </w:numPr>
      </w:pPr>
      <w:r>
        <w:rPr>
          <w:rFonts w:ascii="Aptos" w:hAnsi="Aptos" w:eastAsia="Aptos"/>
          <w:color w:val="24323E"/>
          <w:sz w:val="20"/>
        </w:rPr>
        <w:t>Cerrar ADR de multi-tenancy, identidad, documentos, auditoría, pagos e integraciones.</w:t>
      </w:r>
    </w:p>
    <w:p>
      <w:pPr>
        <w:spacing w:after="60" w:line="271" w:lineRule="auto"/>
        <w:keepLines/>
        <w:numPr>
          <w:ilvl w:val="0"/>
          <w:numId w:val="13"/>
        </w:numPr>
      </w:pPr>
      <w:r>
        <w:rPr>
          <w:rFonts w:ascii="Aptos" w:hAnsi="Aptos" w:eastAsia="Aptos"/>
          <w:color w:val="24323E"/>
          <w:sz w:val="20"/>
        </w:rPr>
        <w:t>Crear backlog del MVP con criterios de aceptación y mapa de dependencias.</w:t>
      </w:r>
    </w:p>
    <w:p>
      <w:pPr>
        <w:spacing w:after="60" w:line="271" w:lineRule="auto"/>
        <w:keepLines/>
        <w:numPr>
          <w:ilvl w:val="0"/>
          <w:numId w:val="13"/>
        </w:numPr>
      </w:pPr>
      <w:r>
        <w:rPr>
          <w:rFonts w:ascii="Aptos" w:hAnsi="Aptos" w:eastAsia="Aptos"/>
          <w:color w:val="24323E"/>
          <w:sz w:val="20"/>
        </w:rPr>
        <w:t>Preparar un dataset sintético representativo y un importador de prueba.</w:t>
      </w:r>
    </w:p>
    <w:p>
      <w:pPr>
        <w:spacing w:after="60" w:line="271" w:lineRule="auto"/>
        <w:keepLines/>
        <w:numPr>
          <w:ilvl w:val="0"/>
          <w:numId w:val="13"/>
        </w:numPr>
      </w:pPr>
      <w:r>
        <w:rPr>
          <w:rFonts w:ascii="Aptos" w:hAnsi="Aptos" w:eastAsia="Aptos"/>
          <w:color w:val="24323E"/>
          <w:sz w:val="20"/>
        </w:rPr>
        <w:t>Definir presupuesto, equipo, fases y condiciones de éxito del piloto.</w:t>
      </w:r>
    </w:p>
    <w:p>
      <w:bookmarkStart w:id="105" w:name="sec_095"/>
      <w:pPr>
        <w:pStyle w:val="Heading1"/>
        <w:keepLines/>
      </w:pPr>
      <w:r>
        <w:t>Anexo A. Matriz funcional completa</w:t>
      </w:r>
      <w:bookmarkEnd w:id="105"/>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750"/>
        <w:gridCol w:w="6160"/>
        <w:gridCol w:w="1450"/>
      </w:tblGrid>
      <w:tr>
        <w:trPr>
          <w:cantSplit/>
          <w:trHeight w:hRule="atLeast"/>
          <w:tblHeader w:val="true"/>
          <w:cantSplit/>
        </w:trPr>
        <w:tc>
          <w:tcPr>
            <w:tcW w:type="dxa" w:w="175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Área</w:t>
            </w:r>
          </w:p>
        </w:tc>
        <w:tc>
          <w:tcPr>
            <w:tcW w:type="dxa" w:w="61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Capacidades</w:t>
            </w:r>
          </w:p>
        </w:tc>
        <w:tc>
          <w:tcPr>
            <w:tcW w:type="dxa" w:w="145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Fase</w:t>
            </w:r>
          </w:p>
        </w:tc>
      </w:tr>
      <w:tr>
        <w:trPr>
          <w:cantSplit/>
          <w:trHeight w:hRule="atLeast"/>
        </w:trPr>
        <w:tc>
          <w:tcPr>
            <w:tcW w:type="dxa" w:w="17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Configuración</w:t>
            </w:r>
          </w:p>
        </w:tc>
        <w:tc>
          <w:tcPr>
            <w:tcW w:type="dxa" w:w="61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Datos comunidad, NIF, dirección, régimen, zona horaria, idioma, ejercicios</w:t>
            </w:r>
          </w:p>
        </w:tc>
        <w:tc>
          <w:tcPr>
            <w:tcW w:type="dxa" w:w="14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MVP</w:t>
            </w:r>
          </w:p>
        </w:tc>
      </w:tr>
      <w:tr>
        <w:trPr>
          <w:cantSplit/>
          <w:trHeight w:hRule="atLeast"/>
        </w:trPr>
        <w:tc>
          <w:tcPr>
            <w:tcW w:type="dxa" w:w="17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Estructura</w:t>
            </w:r>
          </w:p>
        </w:tc>
        <w:tc>
          <w:tcPr>
            <w:tcW w:type="dxa" w:w="61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Agrupación, comunidad, subcomunidad, manzana, bloque, escalera, unidad y anejo</w:t>
            </w:r>
          </w:p>
        </w:tc>
        <w:tc>
          <w:tcPr>
            <w:tcW w:type="dxa" w:w="14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MVP</w:t>
            </w:r>
          </w:p>
        </w:tc>
      </w:tr>
      <w:tr>
        <w:trPr>
          <w:cantSplit/>
          <w:trHeight w:hRule="atLeast"/>
        </w:trPr>
        <w:tc>
          <w:tcPr>
            <w:tcW w:type="dxa" w:w="17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Censo</w:t>
            </w:r>
          </w:p>
        </w:tc>
        <w:tc>
          <w:tcPr>
            <w:tcW w:type="dxa" w:w="61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Personas, propiedad, ocupación, copropiedad, contactos y fechas</w:t>
            </w:r>
          </w:p>
        </w:tc>
        <w:tc>
          <w:tcPr>
            <w:tcW w:type="dxa" w:w="14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MVP</w:t>
            </w:r>
          </w:p>
        </w:tc>
      </w:tr>
      <w:tr>
        <w:trPr>
          <w:cantSplit/>
          <w:trHeight w:hRule="atLeast"/>
        </w:trPr>
        <w:tc>
          <w:tcPr>
            <w:tcW w:type="dxa" w:w="17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Cargos</w:t>
            </w:r>
          </w:p>
        </w:tc>
        <w:tc>
          <w:tcPr>
            <w:tcW w:type="dxa" w:w="61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Presidencia, secretaría, administración, vigencias, actas y delegaciones</w:t>
            </w:r>
          </w:p>
        </w:tc>
        <w:tc>
          <w:tcPr>
            <w:tcW w:type="dxa" w:w="14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MVP</w:t>
            </w:r>
          </w:p>
        </w:tc>
      </w:tr>
      <w:tr>
        <w:trPr>
          <w:cantSplit/>
          <w:trHeight w:hRule="atLeast"/>
        </w:trPr>
        <w:tc>
          <w:tcPr>
            <w:tcW w:type="dxa" w:w="17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Permisos</w:t>
            </w:r>
          </w:p>
        </w:tc>
        <w:tc>
          <w:tcPr>
            <w:tcW w:type="dxa" w:w="61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Roles, políticas, alcance, tiempo, JIT y doble control</w:t>
            </w:r>
          </w:p>
        </w:tc>
        <w:tc>
          <w:tcPr>
            <w:tcW w:type="dxa" w:w="14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MVP</w:t>
            </w:r>
          </w:p>
        </w:tc>
      </w:tr>
      <w:tr>
        <w:trPr>
          <w:cantSplit/>
          <w:trHeight w:hRule="atLeast"/>
        </w:trPr>
        <w:tc>
          <w:tcPr>
            <w:tcW w:type="dxa" w:w="17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Presupuestos</w:t>
            </w:r>
          </w:p>
        </w:tc>
        <w:tc>
          <w:tcPr>
            <w:tcW w:type="dxa" w:w="61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Capítulos, escenarios, aprobación, reserva, ejecución</w:t>
            </w:r>
          </w:p>
        </w:tc>
        <w:tc>
          <w:tcPr>
            <w:tcW w:type="dxa" w:w="14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MVP</w:t>
            </w:r>
          </w:p>
        </w:tc>
      </w:tr>
      <w:tr>
        <w:trPr>
          <w:cantSplit/>
          <w:trHeight w:hRule="atLeast"/>
        </w:trPr>
        <w:tc>
          <w:tcPr>
            <w:tcW w:type="dxa" w:w="17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Cuotas</w:t>
            </w:r>
          </w:p>
        </w:tc>
        <w:tc>
          <w:tcPr>
            <w:tcW w:type="dxa" w:w="61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Reglas, calendarios, derramas, exenciones, simulación</w:t>
            </w:r>
          </w:p>
        </w:tc>
        <w:tc>
          <w:tcPr>
            <w:tcW w:type="dxa" w:w="14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MVP</w:t>
            </w:r>
          </w:p>
        </w:tc>
      </w:tr>
      <w:tr>
        <w:trPr>
          <w:cantSplit/>
          <w:trHeight w:hRule="atLeast"/>
        </w:trPr>
        <w:tc>
          <w:tcPr>
            <w:tcW w:type="dxa" w:w="17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Cobros</w:t>
            </w:r>
          </w:p>
        </w:tc>
        <w:tc>
          <w:tcPr>
            <w:tcW w:type="dxa" w:w="61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Recibos, estados, devoluciones, conciliación</w:t>
            </w:r>
          </w:p>
        </w:tc>
        <w:tc>
          <w:tcPr>
            <w:tcW w:type="dxa" w:w="14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MVP</w:t>
            </w:r>
          </w:p>
        </w:tc>
      </w:tr>
      <w:tr>
        <w:trPr>
          <w:cantSplit/>
          <w:trHeight w:hRule="atLeast"/>
        </w:trPr>
        <w:tc>
          <w:tcPr>
            <w:tcW w:type="dxa" w:w="17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Contabilidad</w:t>
            </w:r>
          </w:p>
        </w:tc>
        <w:tc>
          <w:tcPr>
            <w:tcW w:type="dxa" w:w="61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Asientos, cuentas, cierres, balances</w:t>
            </w:r>
          </w:p>
        </w:tc>
        <w:tc>
          <w:tcPr>
            <w:tcW w:type="dxa" w:w="14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V1/V2</w:t>
            </w:r>
          </w:p>
        </w:tc>
      </w:tr>
      <w:tr>
        <w:trPr>
          <w:cantSplit/>
          <w:trHeight w:hRule="atLeast"/>
        </w:trPr>
        <w:tc>
          <w:tcPr>
            <w:tcW w:type="dxa" w:w="17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Bancos</w:t>
            </w:r>
          </w:p>
        </w:tc>
        <w:tc>
          <w:tcPr>
            <w:tcW w:type="dxa" w:w="61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Importación, open banking, cuentas y autorizados</w:t>
            </w:r>
          </w:p>
        </w:tc>
        <w:tc>
          <w:tcPr>
            <w:tcW w:type="dxa" w:w="14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MVP/V1</w:t>
            </w:r>
          </w:p>
        </w:tc>
      </w:tr>
      <w:tr>
        <w:trPr>
          <w:cantSplit/>
          <w:trHeight w:hRule="atLeast"/>
        </w:trPr>
        <w:tc>
          <w:tcPr>
            <w:tcW w:type="dxa" w:w="17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Morosidad</w:t>
            </w:r>
          </w:p>
        </w:tc>
        <w:tc>
          <w:tcPr>
            <w:tcW w:type="dxa" w:w="61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Avisos, deuda, intereses, acuerdos y dossier</w:t>
            </w:r>
          </w:p>
        </w:tc>
        <w:tc>
          <w:tcPr>
            <w:tcW w:type="dxa" w:w="14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V1</w:t>
            </w:r>
          </w:p>
        </w:tc>
      </w:tr>
      <w:tr>
        <w:trPr>
          <w:cantSplit/>
          <w:trHeight w:hRule="atLeast"/>
        </w:trPr>
        <w:tc>
          <w:tcPr>
            <w:tcW w:type="dxa" w:w="17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Juntas</w:t>
            </w:r>
          </w:p>
        </w:tc>
        <w:tc>
          <w:tcPr>
            <w:tcW w:type="dxa" w:w="61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Convocatoria, asistencia, proxy, voto, mayorías, acta</w:t>
            </w:r>
          </w:p>
        </w:tc>
        <w:tc>
          <w:tcPr>
            <w:tcW w:type="dxa" w:w="14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MVP</w:t>
            </w:r>
          </w:p>
        </w:tc>
      </w:tr>
      <w:tr>
        <w:trPr>
          <w:cantSplit/>
          <w:trHeight w:hRule="atLeast"/>
        </w:trPr>
        <w:tc>
          <w:tcPr>
            <w:tcW w:type="dxa" w:w="17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Avisos</w:t>
            </w:r>
          </w:p>
        </w:tc>
        <w:tc>
          <w:tcPr>
            <w:tcW w:type="dxa" w:w="61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Segmentación, canales, entrega, emergencias</w:t>
            </w:r>
          </w:p>
        </w:tc>
        <w:tc>
          <w:tcPr>
            <w:tcW w:type="dxa" w:w="14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MVP</w:t>
            </w:r>
          </w:p>
        </w:tc>
      </w:tr>
      <w:tr>
        <w:trPr>
          <w:cantSplit/>
          <w:trHeight w:hRule="atLeast"/>
        </w:trPr>
        <w:tc>
          <w:tcPr>
            <w:tcW w:type="dxa" w:w="17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Mensajes</w:t>
            </w:r>
          </w:p>
        </w:tc>
        <w:tc>
          <w:tcPr>
            <w:tcW w:type="dxa" w:w="61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Hilos privados, adjuntos, SLA y moderación</w:t>
            </w:r>
          </w:p>
        </w:tc>
        <w:tc>
          <w:tcPr>
            <w:tcW w:type="dxa" w:w="14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MVP</w:t>
            </w:r>
          </w:p>
        </w:tc>
      </w:tr>
      <w:tr>
        <w:trPr>
          <w:cantSplit/>
          <w:trHeight w:hRule="atLeast"/>
        </w:trPr>
        <w:tc>
          <w:tcPr>
            <w:tcW w:type="dxa" w:w="17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Incidencias</w:t>
            </w:r>
          </w:p>
        </w:tc>
        <w:tc>
          <w:tcPr>
            <w:tcW w:type="dxa" w:w="61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Triage, asignación, partes, validación y cierre</w:t>
            </w:r>
          </w:p>
        </w:tc>
        <w:tc>
          <w:tcPr>
            <w:tcW w:type="dxa" w:w="14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MVP</w:t>
            </w:r>
          </w:p>
        </w:tc>
      </w:tr>
      <w:tr>
        <w:trPr>
          <w:cantSplit/>
          <w:trHeight w:hRule="atLeast"/>
        </w:trPr>
        <w:tc>
          <w:tcPr>
            <w:tcW w:type="dxa" w:w="17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Activos</w:t>
            </w:r>
          </w:p>
        </w:tc>
        <w:tc>
          <w:tcPr>
            <w:tcW w:type="dxa" w:w="61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Inventario, inspección, mantenimiento y vida útil</w:t>
            </w:r>
          </w:p>
        </w:tc>
        <w:tc>
          <w:tcPr>
            <w:tcW w:type="dxa" w:w="14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V1</w:t>
            </w:r>
          </w:p>
        </w:tc>
      </w:tr>
      <w:tr>
        <w:trPr>
          <w:cantSplit/>
          <w:trHeight w:hRule="atLeast"/>
        </w:trPr>
        <w:tc>
          <w:tcPr>
            <w:tcW w:type="dxa" w:w="17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Proveedores</w:t>
            </w:r>
          </w:p>
        </w:tc>
        <w:tc>
          <w:tcPr>
            <w:tcW w:type="dxa" w:w="61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Ficha, contrato, seguro, presupuesto, factura</w:t>
            </w:r>
          </w:p>
        </w:tc>
        <w:tc>
          <w:tcPr>
            <w:tcW w:type="dxa" w:w="14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MVP/V1</w:t>
            </w:r>
          </w:p>
        </w:tc>
      </w:tr>
      <w:tr>
        <w:trPr>
          <w:cantSplit/>
          <w:trHeight w:hRule="atLeast"/>
        </w:trPr>
        <w:tc>
          <w:tcPr>
            <w:tcW w:type="dxa" w:w="17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Obras</w:t>
            </w:r>
          </w:p>
        </w:tc>
        <w:tc>
          <w:tcPr>
            <w:tcW w:type="dxa" w:w="61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Licitación, hitos, certificaciones y garantías</w:t>
            </w:r>
          </w:p>
        </w:tc>
        <w:tc>
          <w:tcPr>
            <w:tcW w:type="dxa" w:w="14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V1</w:t>
            </w:r>
          </w:p>
        </w:tc>
      </w:tr>
      <w:tr>
        <w:trPr>
          <w:cantSplit/>
          <w:trHeight w:hRule="atLeast"/>
        </w:trPr>
        <w:tc>
          <w:tcPr>
            <w:tcW w:type="dxa" w:w="17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Seguros</w:t>
            </w:r>
          </w:p>
        </w:tc>
        <w:tc>
          <w:tcPr>
            <w:tcW w:type="dxa" w:w="61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Pólizas, siniestros, peritajes e indemnización</w:t>
            </w:r>
          </w:p>
        </w:tc>
        <w:tc>
          <w:tcPr>
            <w:tcW w:type="dxa" w:w="14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V1</w:t>
            </w:r>
          </w:p>
        </w:tc>
      </w:tr>
      <w:tr>
        <w:trPr>
          <w:cantSplit/>
          <w:trHeight w:hRule="atLeast"/>
        </w:trPr>
        <w:tc>
          <w:tcPr>
            <w:tcW w:type="dxa" w:w="17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Documentos</w:t>
            </w:r>
          </w:p>
        </w:tc>
        <w:tc>
          <w:tcPr>
            <w:tcW w:type="dxa" w:w="61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Archivo, versión, firma, permiso, retención</w:t>
            </w:r>
          </w:p>
        </w:tc>
        <w:tc>
          <w:tcPr>
            <w:tcW w:type="dxa" w:w="14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MVP</w:t>
            </w:r>
          </w:p>
        </w:tc>
      </w:tr>
      <w:tr>
        <w:trPr>
          <w:cantSplit/>
          <w:trHeight w:hRule="atLeast"/>
        </w:trPr>
        <w:tc>
          <w:tcPr>
            <w:tcW w:type="dxa" w:w="17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Reservas</w:t>
            </w:r>
          </w:p>
        </w:tc>
        <w:tc>
          <w:tcPr>
            <w:tcW w:type="dxa" w:w="61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Recursos, reglas, aforo, depósitos</w:t>
            </w:r>
          </w:p>
        </w:tc>
        <w:tc>
          <w:tcPr>
            <w:tcW w:type="dxa" w:w="14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V1</w:t>
            </w:r>
          </w:p>
        </w:tc>
      </w:tr>
      <w:tr>
        <w:trPr>
          <w:cantSplit/>
          <w:trHeight w:hRule="atLeast"/>
        </w:trPr>
        <w:tc>
          <w:tcPr>
            <w:tcW w:type="dxa" w:w="17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Consumos</w:t>
            </w:r>
          </w:p>
        </w:tc>
        <w:tc>
          <w:tcPr>
            <w:tcW w:type="dxa" w:w="61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Lecturas, importación, reparto, anomalías</w:t>
            </w:r>
          </w:p>
        </w:tc>
        <w:tc>
          <w:tcPr>
            <w:tcW w:type="dxa" w:w="14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V2</w:t>
            </w:r>
          </w:p>
        </w:tc>
      </w:tr>
      <w:tr>
        <w:trPr>
          <w:cantSplit/>
          <w:trHeight w:hRule="atLeast"/>
        </w:trPr>
        <w:tc>
          <w:tcPr>
            <w:tcW w:type="dxa" w:w="17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Empleados</w:t>
            </w:r>
          </w:p>
        </w:tc>
        <w:tc>
          <w:tcPr>
            <w:tcW w:type="dxa" w:w="61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RR. HH., nóminas, turnos, PRL</w:t>
            </w:r>
          </w:p>
        </w:tc>
        <w:tc>
          <w:tcPr>
            <w:tcW w:type="dxa" w:w="14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V2</w:t>
            </w:r>
          </w:p>
        </w:tc>
      </w:tr>
      <w:tr>
        <w:trPr>
          <w:cantSplit/>
          <w:trHeight w:hRule="atLeast"/>
        </w:trPr>
        <w:tc>
          <w:tcPr>
            <w:tcW w:type="dxa" w:w="17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Privacidad</w:t>
            </w:r>
          </w:p>
        </w:tc>
        <w:tc>
          <w:tcPr>
            <w:tcW w:type="dxa" w:w="61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RAT, avisos, derechos, riesgos, brechas</w:t>
            </w:r>
          </w:p>
        </w:tc>
        <w:tc>
          <w:tcPr>
            <w:tcW w:type="dxa" w:w="14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MVP/V1</w:t>
            </w:r>
          </w:p>
        </w:tc>
      </w:tr>
      <w:tr>
        <w:trPr>
          <w:cantSplit/>
          <w:trHeight w:hRule="atLeast"/>
        </w:trPr>
        <w:tc>
          <w:tcPr>
            <w:tcW w:type="dxa" w:w="17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Transición</w:t>
            </w:r>
          </w:p>
        </w:tc>
        <w:tc>
          <w:tcPr>
            <w:tcW w:type="dxa" w:w="61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Inventario, entrega, revocación, conciliación</w:t>
            </w:r>
          </w:p>
        </w:tc>
        <w:tc>
          <w:tcPr>
            <w:tcW w:type="dxa" w:w="14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MVP</w:t>
            </w:r>
          </w:p>
        </w:tc>
      </w:tr>
      <w:tr>
        <w:trPr>
          <w:cantSplit/>
          <w:trHeight w:hRule="atLeast"/>
        </w:trPr>
        <w:tc>
          <w:tcPr>
            <w:tcW w:type="dxa" w:w="17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Integraciones</w:t>
            </w:r>
          </w:p>
        </w:tc>
        <w:tc>
          <w:tcPr>
            <w:tcW w:type="dxa" w:w="61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API, webhooks, firma, pagos, ERP</w:t>
            </w:r>
          </w:p>
        </w:tc>
        <w:tc>
          <w:tcPr>
            <w:tcW w:type="dxa" w:w="14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MVP/V1</w:t>
            </w:r>
          </w:p>
        </w:tc>
      </w:tr>
      <w:tr>
        <w:trPr>
          <w:cantSplit/>
          <w:trHeight w:hRule="atLeast"/>
        </w:trPr>
        <w:tc>
          <w:tcPr>
            <w:tcW w:type="dxa" w:w="17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IA</w:t>
            </w:r>
          </w:p>
        </w:tc>
        <w:tc>
          <w:tcPr>
            <w:tcW w:type="dxa" w:w="61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OCR, resumen, asistente y anomalías</w:t>
            </w:r>
          </w:p>
        </w:tc>
        <w:tc>
          <w:tcPr>
            <w:tcW w:type="dxa" w:w="14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V1/V2</w:t>
            </w:r>
          </w:p>
        </w:tc>
      </w:tr>
      <w:tr>
        <w:trPr>
          <w:cantSplit/>
          <w:trHeight w:hRule="atLeast"/>
        </w:trPr>
        <w:tc>
          <w:tcPr>
            <w:tcW w:type="dxa" w:w="17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Informes</w:t>
            </w:r>
          </w:p>
        </w:tc>
        <w:tc>
          <w:tcPr>
            <w:tcW w:type="dxa" w:w="61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Economía, operación, gobierno y cumplimiento</w:t>
            </w:r>
          </w:p>
        </w:tc>
        <w:tc>
          <w:tcPr>
            <w:tcW w:type="dxa" w:w="145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MVP/V1</w:t>
            </w:r>
          </w:p>
        </w:tc>
      </w:tr>
      <w:tr>
        <w:trPr>
          <w:cantSplit/>
          <w:trHeight w:hRule="atLeast"/>
        </w:trPr>
        <w:tc>
          <w:tcPr>
            <w:tcW w:type="dxa" w:w="17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Soporte</w:t>
            </w:r>
          </w:p>
        </w:tc>
        <w:tc>
          <w:tcPr>
            <w:tcW w:type="dxa" w:w="61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Tickets, JIT, auditoría y base de conocimiento</w:t>
            </w:r>
          </w:p>
        </w:tc>
        <w:tc>
          <w:tcPr>
            <w:tcW w:type="dxa" w:w="145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6"/>
              </w:rPr>
              <w:t>MVP</w:t>
            </w:r>
          </w:p>
        </w:tc>
      </w:tr>
    </w:tbl>
    <w:p>
      <w:pPr>
        <w:keepLines/>
        <w:spacing w:after="0"/>
      </w:pPr>
    </w:p>
    <w:p>
      <w:bookmarkStart w:id="106" w:name="sec_096"/>
      <w:pPr>
        <w:pStyle w:val="Heading1"/>
        <w:keepLines/>
      </w:pPr>
      <w:r>
        <w:t>Anexo B. Historias de usuario prioritarias</w:t>
      </w:r>
      <w:bookmarkEnd w:id="106"/>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100"/>
        <w:gridCol w:w="8260"/>
      </w:tblGrid>
      <w:tr>
        <w:trPr>
          <w:cantSplit/>
          <w:trHeight w:hRule="atLeast"/>
          <w:tblHeader w:val="true"/>
          <w:cantSplit/>
        </w:trPr>
        <w:tc>
          <w:tcPr>
            <w:tcW w:type="dxa" w:w="11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ID</w:t>
            </w:r>
          </w:p>
        </w:tc>
        <w:tc>
          <w:tcPr>
            <w:tcW w:type="dxa" w:w="82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Historia</w:t>
            </w:r>
          </w:p>
        </w:tc>
      </w:tr>
      <w:tr>
        <w:trPr>
          <w:cantSplit/>
          <w:trHeight w:hRule="atLeast"/>
        </w:trPr>
        <w:tc>
          <w:tcPr>
            <w:tcW w:type="dxa" w:w="11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CC-001</w:t>
            </w:r>
          </w:p>
        </w:tc>
        <w:tc>
          <w:tcPr>
            <w:tcW w:type="dxa" w:w="82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Como presidente, quiero invitar al administrador aprobado para que trabaje sin convertirse en propietario de la cuenta.</w:t>
            </w:r>
          </w:p>
        </w:tc>
      </w:tr>
      <w:tr>
        <w:trPr>
          <w:cantSplit/>
          <w:trHeight w:hRule="atLeast"/>
        </w:trPr>
        <w:tc>
          <w:tcPr>
            <w:tcW w:type="dxa" w:w="11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CC-002</w:t>
            </w:r>
          </w:p>
        </w:tc>
        <w:tc>
          <w:tcPr>
            <w:tcW w:type="dxa" w:w="82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Como propietario, quiero entender cada cuota para saber qué se me cobra y por qué.</w:t>
            </w:r>
          </w:p>
        </w:tc>
      </w:tr>
      <w:tr>
        <w:trPr>
          <w:cantSplit/>
          <w:trHeight w:hRule="atLeast"/>
        </w:trPr>
        <w:tc>
          <w:tcPr>
            <w:tcW w:type="dxa" w:w="11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CC-003</w:t>
            </w:r>
          </w:p>
        </w:tc>
        <w:tc>
          <w:tcPr>
            <w:tcW w:type="dxa" w:w="82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Como ocupante, quiero recibir avisos de mi escalera sin ver información económica del propietario.</w:t>
            </w:r>
          </w:p>
        </w:tc>
      </w:tr>
      <w:tr>
        <w:trPr>
          <w:cantSplit/>
          <w:trHeight w:hRule="atLeast"/>
        </w:trPr>
        <w:tc>
          <w:tcPr>
            <w:tcW w:type="dxa" w:w="11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CC-004</w:t>
            </w:r>
          </w:p>
        </w:tc>
        <w:tc>
          <w:tcPr>
            <w:tcW w:type="dxa" w:w="82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Como administrador, quiero importar movimientos y conciliarlos para cerrar el mes con menos trabajo manual.</w:t>
            </w:r>
          </w:p>
        </w:tc>
      </w:tr>
      <w:tr>
        <w:trPr>
          <w:cantSplit/>
          <w:trHeight w:hRule="atLeast"/>
        </w:trPr>
        <w:tc>
          <w:tcPr>
            <w:tcW w:type="dxa" w:w="11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CC-005</w:t>
            </w:r>
          </w:p>
        </w:tc>
        <w:tc>
          <w:tcPr>
            <w:tcW w:type="dxa" w:w="82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Como secretario, quiero generar un acta con asistentes, cuotas, votos y acuerdos para revisarla y firmarla.</w:t>
            </w:r>
          </w:p>
        </w:tc>
      </w:tr>
      <w:tr>
        <w:trPr>
          <w:cantSplit/>
          <w:trHeight w:hRule="atLeast"/>
        </w:trPr>
        <w:tc>
          <w:tcPr>
            <w:tcW w:type="dxa" w:w="11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CC-006</w:t>
            </w:r>
          </w:p>
        </w:tc>
        <w:tc>
          <w:tcPr>
            <w:tcW w:type="dxa" w:w="82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Como propietario, quiero delegar mi asistencia a una Junta concreta y poder revocar la delegación.</w:t>
            </w:r>
          </w:p>
        </w:tc>
      </w:tr>
      <w:tr>
        <w:trPr>
          <w:cantSplit/>
          <w:trHeight w:hRule="atLeast"/>
        </w:trPr>
        <w:tc>
          <w:tcPr>
            <w:tcW w:type="dxa" w:w="11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CC-007</w:t>
            </w:r>
          </w:p>
        </w:tc>
        <w:tc>
          <w:tcPr>
            <w:tcW w:type="dxa" w:w="82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Como vecino, quiero comunicar una avería con foto y seguirla sin llamar repetidamente.</w:t>
            </w:r>
          </w:p>
        </w:tc>
      </w:tr>
      <w:tr>
        <w:trPr>
          <w:cantSplit/>
          <w:trHeight w:hRule="atLeast"/>
        </w:trPr>
        <w:tc>
          <w:tcPr>
            <w:tcW w:type="dxa" w:w="11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CC-008</w:t>
            </w:r>
          </w:p>
        </w:tc>
        <w:tc>
          <w:tcPr>
            <w:tcW w:type="dxa" w:w="82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Como presidente, quiero comparar presupuestos equivalentes y registrar por qué se elige uno.</w:t>
            </w:r>
          </w:p>
        </w:tc>
      </w:tr>
      <w:tr>
        <w:trPr>
          <w:cantSplit/>
          <w:trHeight w:hRule="atLeast"/>
        </w:trPr>
        <w:tc>
          <w:tcPr>
            <w:tcW w:type="dxa" w:w="11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CC-009</w:t>
            </w:r>
          </w:p>
        </w:tc>
        <w:tc>
          <w:tcPr>
            <w:tcW w:type="dxa" w:w="82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Como administrador saliente, quiero entregar un inventario claro para cerrar mis responsabilidades.</w:t>
            </w:r>
          </w:p>
        </w:tc>
      </w:tr>
      <w:tr>
        <w:trPr>
          <w:cantSplit/>
          <w:trHeight w:hRule="atLeast"/>
        </w:trPr>
        <w:tc>
          <w:tcPr>
            <w:tcW w:type="dxa" w:w="11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CC-010</w:t>
            </w:r>
          </w:p>
        </w:tc>
        <w:tc>
          <w:tcPr>
            <w:tcW w:type="dxa" w:w="82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Como administrador entrante, quiero revisar saldos, contratos y pendientes sin pedir de nuevo datos a los vecinos.</w:t>
            </w:r>
          </w:p>
        </w:tc>
      </w:tr>
      <w:tr>
        <w:trPr>
          <w:cantSplit/>
          <w:trHeight w:hRule="atLeast"/>
        </w:trPr>
        <w:tc>
          <w:tcPr>
            <w:tcW w:type="dxa" w:w="11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CC-011</w:t>
            </w:r>
          </w:p>
        </w:tc>
        <w:tc>
          <w:tcPr>
            <w:tcW w:type="dxa" w:w="82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Como comunidad, quiero exportar todos mis datos en formatos utilizables para no depender del proveedor.</w:t>
            </w:r>
          </w:p>
        </w:tc>
      </w:tr>
      <w:tr>
        <w:trPr>
          <w:cantSplit/>
          <w:trHeight w:hRule="atLeast"/>
        </w:trPr>
        <w:tc>
          <w:tcPr>
            <w:tcW w:type="dxa" w:w="11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CC-012</w:t>
            </w:r>
          </w:p>
        </w:tc>
        <w:tc>
          <w:tcPr>
            <w:tcW w:type="dxa" w:w="82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Como DPO, quiero conocer tratamientos, encargados, accesos y retenciones para demostrar cumplimiento.</w:t>
            </w:r>
          </w:p>
        </w:tc>
      </w:tr>
      <w:tr>
        <w:trPr>
          <w:cantSplit/>
          <w:trHeight w:hRule="atLeast"/>
        </w:trPr>
        <w:tc>
          <w:tcPr>
            <w:tcW w:type="dxa" w:w="11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CC-013</w:t>
            </w:r>
          </w:p>
        </w:tc>
        <w:tc>
          <w:tcPr>
            <w:tcW w:type="dxa" w:w="82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Como soporte, quiero acceder temporalmente con aprobación y trazabilidad para resolver un error sin privilegio permanente.</w:t>
            </w:r>
          </w:p>
        </w:tc>
      </w:tr>
      <w:tr>
        <w:trPr>
          <w:cantSplit/>
          <w:trHeight w:hRule="atLeast"/>
        </w:trPr>
        <w:tc>
          <w:tcPr>
            <w:tcW w:type="dxa" w:w="11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CC-014</w:t>
            </w:r>
          </w:p>
        </w:tc>
        <w:tc>
          <w:tcPr>
            <w:tcW w:type="dxa" w:w="82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Como propietario mayor, quiero un modo sencillo para ver avisos, recibos y pedir ayuda.</w:t>
            </w:r>
          </w:p>
        </w:tc>
      </w:tr>
      <w:tr>
        <w:trPr>
          <w:cantSplit/>
          <w:trHeight w:hRule="atLeast"/>
        </w:trPr>
        <w:tc>
          <w:tcPr>
            <w:tcW w:type="dxa" w:w="11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CC-015</w:t>
            </w:r>
          </w:p>
        </w:tc>
        <w:tc>
          <w:tcPr>
            <w:tcW w:type="dxa" w:w="82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Como tesorero/presidente, quiero doble aprobación al cambiar el IBAN de un proveedor y ordenar un pago.</w:t>
            </w:r>
          </w:p>
        </w:tc>
      </w:tr>
      <w:tr>
        <w:trPr>
          <w:cantSplit/>
          <w:trHeight w:hRule="atLeast"/>
        </w:trPr>
        <w:tc>
          <w:tcPr>
            <w:tcW w:type="dxa" w:w="11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CC-016</w:t>
            </w:r>
          </w:p>
        </w:tc>
        <w:tc>
          <w:tcPr>
            <w:tcW w:type="dxa" w:w="82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Como propietario, quiero solicitar un documento y recibir una versión proporcionada que no exponga datos ajenos.</w:t>
            </w:r>
          </w:p>
        </w:tc>
      </w:tr>
      <w:tr>
        <w:trPr>
          <w:cantSplit/>
          <w:trHeight w:hRule="atLeast"/>
        </w:trPr>
        <w:tc>
          <w:tcPr>
            <w:tcW w:type="dxa" w:w="11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CC-017</w:t>
            </w:r>
          </w:p>
        </w:tc>
        <w:tc>
          <w:tcPr>
            <w:tcW w:type="dxa" w:w="82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Como administrador, quiero simular una derrama y ver redondeos antes de emitirla.</w:t>
            </w:r>
          </w:p>
        </w:tc>
      </w:tr>
      <w:tr>
        <w:trPr>
          <w:cantSplit/>
          <w:trHeight w:hRule="atLeast"/>
        </w:trPr>
        <w:tc>
          <w:tcPr>
            <w:tcW w:type="dxa" w:w="11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CC-018</w:t>
            </w:r>
          </w:p>
        </w:tc>
        <w:tc>
          <w:tcPr>
            <w:tcW w:type="dxa" w:w="82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Como secretario, quiero conservar la instantánea del censo y regla usada en cada votación.</w:t>
            </w:r>
          </w:p>
        </w:tc>
      </w:tr>
      <w:tr>
        <w:trPr>
          <w:cantSplit/>
          <w:trHeight w:hRule="atLeast"/>
        </w:trPr>
        <w:tc>
          <w:tcPr>
            <w:tcW w:type="dxa" w:w="11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CC-019</w:t>
            </w:r>
          </w:p>
        </w:tc>
        <w:tc>
          <w:tcPr>
            <w:tcW w:type="dxa" w:w="82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Como proveedor, quiero subir un parte y factura solo para el trabajo que me han asignado.</w:t>
            </w:r>
          </w:p>
        </w:tc>
      </w:tr>
      <w:tr>
        <w:trPr>
          <w:cantSplit/>
          <w:trHeight w:hRule="atLeast"/>
        </w:trPr>
        <w:tc>
          <w:tcPr>
            <w:tcW w:type="dxa" w:w="11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CC-020</w:t>
            </w:r>
          </w:p>
        </w:tc>
        <w:tc>
          <w:tcPr>
            <w:tcW w:type="dxa" w:w="82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Como comunidad, quiero detectar accesos residuales después de cambiar de administrador.</w:t>
            </w:r>
          </w:p>
        </w:tc>
      </w:tr>
    </w:tbl>
    <w:p>
      <w:pPr>
        <w:keepLines/>
        <w:spacing w:after="0"/>
      </w:pPr>
    </w:p>
    <w:p>
      <w:bookmarkStart w:id="107" w:name="sec_097"/>
      <w:pPr>
        <w:pStyle w:val="Heading1"/>
        <w:keepLines/>
      </w:pPr>
      <w:r>
        <w:t>Anexo C. Criterios de aceptación críticos</w:t>
      </w:r>
      <w:bookmarkEnd w:id="107"/>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900"/>
        <w:gridCol w:w="7460"/>
      </w:tblGrid>
      <w:tr>
        <w:trPr>
          <w:cantSplit/>
          <w:trHeight w:hRule="atLeast"/>
          <w:tblHeader w:val="true"/>
          <w:cantSplit/>
        </w:trPr>
        <w:tc>
          <w:tcPr>
            <w:tcW w:type="dxa" w:w="19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Área</w:t>
            </w:r>
          </w:p>
        </w:tc>
        <w:tc>
          <w:tcPr>
            <w:tcW w:type="dxa" w:w="74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Aceptación</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Aislamiento</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Un usuario de Comunidad A no puede inferir existencia, metadatos, búsqueda, caché, fichero ni evento de Comunidad B.</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Cambio de administrador</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Al llegar la fecha efectiva, se revocan sesiones, tokens, equipo e integraciones del saliente y el vecino mantiene acceso.</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Cuota explicable</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Todo cargo muestra periodo, concepto, base, regla, coeficiente, redondeo y acuerdo/presupuesto origen.</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Acta</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Incluye fecha/lugar, convocatoria, tipo, asistentes/representados, cuotas, orden, acuerdos, votos relevantes y firmas.</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Permisos</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Ver listado, abrir, descargar, editar, aprobar y exportar son decisiones separadas y auditadas.</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Documento</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El original no se sobrescribe; la nueva versión conserva hash, autor, fecha y relación de sustitución.</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Importación</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Los datos entran en staging, se validan, se informa de errores y solo se publican tras aprobación.</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Exportación</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Incluye datos estructurados, documentos, metadatos, manifiesto, checksums y diccionario.</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Banco</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Una transacción se concilia una sola vez salvo deshacer trazado; la suma se conserva.</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IBAN proveedor</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El cambio requiere verificación reforzada y no puede aprobarlo la misma persona que lo propone si la política exige segregación.</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Derecho RGPD</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La solicitud queda identificada, fechada, asignada, limitada por plazo y respondida con evidencia.</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Soporte</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El acceso JIT caduca, muestra motivo, alcance y aprobación, y genera eventos consultables.</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Accesibilidad</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Tareas esenciales operan con teclado/lector, foco visible, contraste AA y zoom 200 % sin pérdida.</w:t>
            </w:r>
          </w:p>
        </w:tc>
      </w:tr>
      <w:tr>
        <w:trPr>
          <w:cantSplit/>
          <w:trHeight w:hRule="atLeast"/>
        </w:trPr>
        <w:tc>
          <w:tcPr>
            <w:tcW w:type="dxa" w:w="19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Backup</w:t>
            </w:r>
          </w:p>
        </w:tc>
        <w:tc>
          <w:tcPr>
            <w:tcW w:type="dxa" w:w="74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Se restaura una comunidad en entorno aislado y se verifican filas, documentos, hashes y permisos.</w:t>
            </w:r>
          </w:p>
        </w:tc>
      </w:tr>
      <w:tr>
        <w:trPr>
          <w:cantSplit/>
          <w:trHeight w:hRule="atLeast"/>
        </w:trPr>
        <w:tc>
          <w:tcPr>
            <w:tcW w:type="dxa" w:w="19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Notificación</w:t>
            </w:r>
          </w:p>
        </w:tc>
        <w:tc>
          <w:tcPr>
            <w:tcW w:type="dxa" w:w="74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Plantilla/version, destinatarios, canal, intento, proveedor, entrega/rebote y documento quedan relacionados.</w:t>
            </w:r>
          </w:p>
        </w:tc>
      </w:tr>
    </w:tbl>
    <w:p>
      <w:pPr>
        <w:keepLines/>
        <w:spacing w:after="0"/>
      </w:pPr>
    </w:p>
    <w:p>
      <w:bookmarkStart w:id="108" w:name="sec_098"/>
      <w:pPr>
        <w:pStyle w:val="Heading1"/>
        <w:keepLines/>
      </w:pPr>
      <w:r>
        <w:t>Anexo D. Inventario inicial de pantallas</w:t>
      </w:r>
      <w:bookmarkEnd w:id="108"/>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800"/>
        <w:gridCol w:w="7560"/>
      </w:tblGrid>
      <w:tr>
        <w:trPr>
          <w:cantSplit/>
          <w:trHeight w:hRule="atLeast"/>
          <w:tblHeader w:val="true"/>
          <w:cantSplit/>
        </w:trPr>
        <w:tc>
          <w:tcPr>
            <w:tcW w:type="dxa" w:w="18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Experiencia</w:t>
            </w:r>
          </w:p>
        </w:tc>
        <w:tc>
          <w:tcPr>
            <w:tcW w:type="dxa" w:w="75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Pantallas</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Vecino</w:t>
            </w:r>
          </w:p>
        </w:tc>
        <w:tc>
          <w:tcPr>
            <w:tcW w:type="dxa" w:w="75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Inicio; Mi unidad; Mis cuotas; Detalle de recibo; Avisos; Juntas; Delegación; Incidencias; Documentos; Reservas; Ayuda; Privacidad</w:t>
            </w:r>
          </w:p>
        </w:tc>
      </w:tr>
      <w:tr>
        <w:trPr>
          <w:cantSplit/>
          <w:trHeight w:hRule="atLeast"/>
        </w:trPr>
        <w:tc>
          <w:tcPr>
            <w:tcW w:type="dxa" w:w="1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Presidencia</w:t>
            </w:r>
          </w:p>
        </w:tc>
        <w:tc>
          <w:tcPr>
            <w:tcW w:type="dxa" w:w="75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Resumen; Aprobaciones; Cargos; Proveedores; Juntas; Transición; Auditoría; Configuración</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Administrador</w:t>
            </w:r>
          </w:p>
        </w:tc>
        <w:tc>
          <w:tcPr>
            <w:tcW w:type="dxa" w:w="75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Cartera; Comunidad; Censo; Economía; Bancos; Juntas; Incidencias; Proveedores; Documentos; Informes; Cumplimiento</w:t>
            </w:r>
          </w:p>
        </w:tc>
      </w:tr>
      <w:tr>
        <w:trPr>
          <w:cantSplit/>
          <w:trHeight w:hRule="atLeast"/>
        </w:trPr>
        <w:tc>
          <w:tcPr>
            <w:tcW w:type="dxa" w:w="1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Proveedor</w:t>
            </w:r>
          </w:p>
        </w:tc>
        <w:tc>
          <w:tcPr>
            <w:tcW w:type="dxa" w:w="75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Encargos; Detalle; Mensajes; Parte; Presupuesto; Factura; Perfil y documentos</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Plataforma</w:t>
            </w:r>
          </w:p>
        </w:tc>
        <w:tc>
          <w:tcPr>
            <w:tcW w:type="dxa" w:w="75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Tenants; facturación; salud; soporte JIT; incidentes; subencargados; feature flags; auditoría interna</w:t>
            </w:r>
          </w:p>
        </w:tc>
      </w:tr>
    </w:tbl>
    <w:p>
      <w:pPr>
        <w:keepLines/>
        <w:spacing w:after="0"/>
      </w:pPr>
    </w:p>
    <w:p>
      <w:bookmarkStart w:id="109" w:name="sec_099"/>
      <w:pPr>
        <w:pStyle w:val="Heading1"/>
        <w:keepLines/>
      </w:pPr>
      <w:r>
        <w:t>Anexo E. Glosario</w:t>
      </w:r>
      <w:bookmarkEnd w:id="109"/>
    </w:p>
    <w:tbl>
      <w:tblPr>
        <w:tblW w:type="dxa" w:w="9360"/>
        <w:tblLayout w:type="fixed"/>
        <w:tblLook w:firstColumn="1" w:firstRow="1" w:lastColumn="0" w:lastRow="0" w:noHBand="0" w:noVBand="1" w:val="04A0"/>
        <w:jc w:val="left"/>
        <w:tblInd w:w="12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1800"/>
        <w:gridCol w:w="7560"/>
      </w:tblGrid>
      <w:tr>
        <w:trPr>
          <w:cantSplit/>
          <w:trHeight w:hRule="atLeast"/>
          <w:tblHeader w:val="true"/>
          <w:cantSplit/>
        </w:trPr>
        <w:tc>
          <w:tcPr>
            <w:tcW w:type="dxa" w:w="180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Término</w:t>
            </w:r>
          </w:p>
        </w:tc>
        <w:tc>
          <w:tcPr>
            <w:tcW w:type="dxa" w:w="7560"/>
            <w:tcMar>
              <w:top w:w="100" w:type="dxa"/>
              <w:start w:w="120" w:type="dxa"/>
              <w:bottom w:w="100" w:type="dxa"/>
              <w:end w:w="120" w:type="dxa"/>
            </w:tcMar>
            <w:vAlign w:val="center"/>
            <w:shd w:fill="16324F" w:val="clear"/>
          </w:tcPr>
          <w:p>
            <w:pPr>
              <w:spacing w:before="0" w:after="0" w:line="252" w:lineRule="auto"/>
              <w:jc w:val="center"/>
            </w:pPr>
            <w:r>
              <w:rPr>
                <w:rFonts w:ascii="Aptos" w:hAnsi="Aptos" w:eastAsia="Aptos"/>
                <w:b/>
                <w:i w:val="0"/>
                <w:color w:val="FFFFFF"/>
                <w:sz w:val="18"/>
              </w:rPr>
              <w:t>Definición</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ABAC</w:t>
            </w:r>
          </w:p>
        </w:tc>
        <w:tc>
          <w:tcPr>
            <w:tcW w:type="dxa" w:w="75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Control de acceso basado en atributos como comunidad, finalidad, relación y vigencia.</w:t>
            </w:r>
          </w:p>
        </w:tc>
      </w:tr>
      <w:tr>
        <w:trPr>
          <w:cantSplit/>
          <w:trHeight w:hRule="atLeast"/>
        </w:trPr>
        <w:tc>
          <w:tcPr>
            <w:tcW w:type="dxa" w:w="1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Administrador</w:t>
            </w:r>
          </w:p>
        </w:tc>
        <w:tc>
          <w:tcPr>
            <w:tcW w:type="dxa" w:w="75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Persona física o jurídica designada para funciones de administración; no es titular de la cuenta comunitaria.</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Comunidad</w:t>
            </w:r>
          </w:p>
        </w:tc>
        <w:tc>
          <w:tcPr>
            <w:tcW w:type="dxa" w:w="75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Entidad funcional y jurídica que agrupa titulares y elementos comunes; tenant principal.</w:t>
            </w:r>
          </w:p>
        </w:tc>
      </w:tr>
      <w:tr>
        <w:trPr>
          <w:cantSplit/>
          <w:trHeight w:hRule="atLeast"/>
        </w:trPr>
        <w:tc>
          <w:tcPr>
            <w:tcW w:type="dxa" w:w="1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Derrama</w:t>
            </w:r>
          </w:p>
        </w:tc>
        <w:tc>
          <w:tcPr>
            <w:tcW w:type="dxa" w:w="75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Cuota extraordinaria aprobada para una necesidad o proyecto.</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EIPD</w:t>
            </w:r>
          </w:p>
        </w:tc>
        <w:tc>
          <w:tcPr>
            <w:tcW w:type="dxa" w:w="75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Evaluación de Impacto relativa a la Protección de Datos.</w:t>
            </w:r>
          </w:p>
        </w:tc>
      </w:tr>
      <w:tr>
        <w:trPr>
          <w:cantSplit/>
          <w:trHeight w:hRule="atLeast"/>
        </w:trPr>
        <w:tc>
          <w:tcPr>
            <w:tcW w:type="dxa" w:w="1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Encargado</w:t>
            </w:r>
          </w:p>
        </w:tc>
        <w:tc>
          <w:tcPr>
            <w:tcW w:type="dxa" w:w="75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Quien trata datos personales por cuenta del responsable y según sus instrucciones.</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LPH</w:t>
            </w:r>
          </w:p>
        </w:tc>
        <w:tc>
          <w:tcPr>
            <w:tcW w:type="dxa" w:w="75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Ley 49/1960, de Propiedad Horizontal, sin perjuicio de normativa territorial aplicable.</w:t>
            </w:r>
          </w:p>
        </w:tc>
      </w:tr>
      <w:tr>
        <w:trPr>
          <w:cantSplit/>
          <w:trHeight w:hRule="atLeast"/>
        </w:trPr>
        <w:tc>
          <w:tcPr>
            <w:tcW w:type="dxa" w:w="1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MFA</w:t>
            </w:r>
          </w:p>
        </w:tc>
        <w:tc>
          <w:tcPr>
            <w:tcW w:type="dxa" w:w="75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Autenticación multifactor.</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Passkey</w:t>
            </w:r>
          </w:p>
        </w:tc>
        <w:tc>
          <w:tcPr>
            <w:tcW w:type="dxa" w:w="75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Credencial resistente a phishing basada en criptografía de clave pública.</w:t>
            </w:r>
          </w:p>
        </w:tc>
      </w:tr>
      <w:tr>
        <w:trPr>
          <w:cantSplit/>
          <w:trHeight w:hRule="atLeast"/>
        </w:trPr>
        <w:tc>
          <w:tcPr>
            <w:tcW w:type="dxa" w:w="1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RAT</w:t>
            </w:r>
          </w:p>
        </w:tc>
        <w:tc>
          <w:tcPr>
            <w:tcW w:type="dxa" w:w="75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Registro de Actividades de Tratamiento.</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RBAC</w:t>
            </w:r>
          </w:p>
        </w:tc>
        <w:tc>
          <w:tcPr>
            <w:tcW w:type="dxa" w:w="75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Control de acceso basado en roles.</w:t>
            </w:r>
          </w:p>
        </w:tc>
      </w:tr>
      <w:tr>
        <w:trPr>
          <w:cantSplit/>
          <w:trHeight w:hRule="atLeast"/>
        </w:trPr>
        <w:tc>
          <w:tcPr>
            <w:tcW w:type="dxa" w:w="1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RLS</w:t>
            </w:r>
          </w:p>
        </w:tc>
        <w:tc>
          <w:tcPr>
            <w:tcW w:type="dxa" w:w="75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Row Level Security de PostgreSQL para reforzar aislamiento por fila.</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RPO</w:t>
            </w:r>
          </w:p>
        </w:tc>
        <w:tc>
          <w:tcPr>
            <w:tcW w:type="dxa" w:w="75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Pérdida máxima de datos aceptable medida en tiempo.</w:t>
            </w:r>
          </w:p>
        </w:tc>
      </w:tr>
      <w:tr>
        <w:trPr>
          <w:cantSplit/>
          <w:trHeight w:hRule="atLeast"/>
        </w:trPr>
        <w:tc>
          <w:tcPr>
            <w:tcW w:type="dxa" w:w="180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RTO</w:t>
            </w:r>
          </w:p>
        </w:tc>
        <w:tc>
          <w:tcPr>
            <w:tcW w:type="dxa" w:w="7560"/>
            <w:shd w:fill="F7FAFB" w:val="clear"/>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Tiempo objetivo de recuperación del servicio.</w:t>
            </w:r>
          </w:p>
        </w:tc>
      </w:tr>
      <w:tr>
        <w:trPr>
          <w:cantSplit/>
          <w:trHeight w:hRule="atLeast"/>
        </w:trPr>
        <w:tc>
          <w:tcPr>
            <w:tcW w:type="dxa" w:w="180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Tenant</w:t>
            </w:r>
          </w:p>
        </w:tc>
        <w:tc>
          <w:tcPr>
            <w:tcW w:type="dxa" w:w="7560"/>
            <w:tcMar>
              <w:top w:w="100" w:type="dxa"/>
              <w:start w:w="120" w:type="dxa"/>
              <w:bottom w:w="100" w:type="dxa"/>
              <w:end w:w="120" w:type="dxa"/>
            </w:tcMar>
            <w:vAlign w:val="center"/>
          </w:tcPr>
          <w:p>
            <w:pPr>
              <w:spacing w:before="0" w:after="0" w:line="259" w:lineRule="auto"/>
              <w:jc w:val="left"/>
            </w:pPr>
            <w:r>
              <w:rPr>
                <w:rFonts w:ascii="Aptos" w:hAnsi="Aptos" w:eastAsia="Aptos"/>
                <w:b w:val="0"/>
                <w:i w:val="0"/>
                <w:color w:val="24323E"/>
                <w:sz w:val="17"/>
              </w:rPr>
              <w:t>Ámbito lógico aislado de una comunidad o agrupación.</w:t>
            </w:r>
          </w:p>
        </w:tc>
      </w:tr>
    </w:tbl>
    <w:p>
      <w:pPr>
        <w:keepLines/>
        <w:spacing w:after="0"/>
      </w:pPr>
    </w:p>
    <w:p>
      <w:bookmarkStart w:id="110" w:name="sec_100"/>
      <w:pPr>
        <w:pStyle w:val="Heading1"/>
        <w:keepLines/>
      </w:pPr>
      <w:r>
        <w:t>Anexo F. Fuentes oficiales consultadas</w:t>
      </w:r>
      <w:bookmarkEnd w:id="110"/>
    </w:p>
    <w:p>
      <w:pPr>
        <w:keepLines/>
        <w:spacing w:after="100"/>
        <w:ind w:left="259" w:hanging="259"/>
      </w:pPr>
      <w:r>
        <w:rPr>
          <w:rFonts w:ascii="Aptos" w:hAnsi="Aptos" w:eastAsia="Aptos"/>
          <w:b/>
          <w:color w:val="1D8A79"/>
          <w:sz w:val="19"/>
        </w:rPr>
        <w:t xml:space="preserve">•  </w:t>
      </w:r>
      <w:hyperlink r:id="rId11">
        <w:r>
          <w:rPr>
            <w:rFonts w:ascii="Aptos" w:hAnsi="Aptos"/>
            <w:color w:val="176B87"/>
            <w:u w:val="single"/>
            <w:sz w:val="19"/>
          </w:rPr>
          <w:t>Ley 49/1960, de 21 de julio, sobre propiedad horizontal — texto consolidado del BOE</w:t>
        </w:r>
      </w:hyperlink>
    </w:p>
    <w:p>
      <w:pPr>
        <w:keepLines/>
        <w:spacing w:after="100"/>
        <w:ind w:left="259" w:hanging="259"/>
      </w:pPr>
      <w:r>
        <w:rPr>
          <w:rFonts w:ascii="Aptos" w:hAnsi="Aptos" w:eastAsia="Aptos"/>
          <w:b/>
          <w:color w:val="1D8A79"/>
          <w:sz w:val="19"/>
        </w:rPr>
        <w:t xml:space="preserve">•  </w:t>
      </w:r>
      <w:hyperlink r:id="rId12">
        <w:r>
          <w:rPr>
            <w:rFonts w:ascii="Aptos" w:hAnsi="Aptos"/>
            <w:color w:val="176B87"/>
            <w:u w:val="single"/>
            <w:sz w:val="19"/>
          </w:rPr>
          <w:t>Código de Comunidad de Propietarios — Biblioteca Jurídica Digital del BOE</w:t>
        </w:r>
      </w:hyperlink>
    </w:p>
    <w:p>
      <w:pPr>
        <w:keepLines/>
        <w:spacing w:after="100"/>
        <w:ind w:left="259" w:hanging="259"/>
      </w:pPr>
      <w:r>
        <w:rPr>
          <w:rFonts w:ascii="Aptos" w:hAnsi="Aptos" w:eastAsia="Aptos"/>
          <w:b/>
          <w:color w:val="1D8A79"/>
          <w:sz w:val="19"/>
        </w:rPr>
        <w:t xml:space="preserve">•  </w:t>
      </w:r>
      <w:hyperlink r:id="rId13">
        <w:r>
          <w:rPr>
            <w:rFonts w:ascii="Aptos" w:hAnsi="Aptos"/>
            <w:color w:val="176B87"/>
            <w:u w:val="single"/>
            <w:sz w:val="19"/>
          </w:rPr>
          <w:t>Reglamento (UE) 2016/679 — RGPD</w:t>
        </w:r>
      </w:hyperlink>
    </w:p>
    <w:p>
      <w:pPr>
        <w:keepLines/>
        <w:spacing w:after="100"/>
        <w:ind w:left="259" w:hanging="259"/>
      </w:pPr>
      <w:r>
        <w:rPr>
          <w:rFonts w:ascii="Aptos" w:hAnsi="Aptos" w:eastAsia="Aptos"/>
          <w:b/>
          <w:color w:val="1D8A79"/>
          <w:sz w:val="19"/>
        </w:rPr>
        <w:t xml:space="preserve">•  </w:t>
      </w:r>
      <w:hyperlink r:id="rId14">
        <w:r>
          <w:rPr>
            <w:rFonts w:ascii="Aptos" w:hAnsi="Aptos"/>
            <w:color w:val="176B87"/>
            <w:u w:val="single"/>
            <w:sz w:val="19"/>
          </w:rPr>
          <w:t>Ley Orgánica 3/2018, de Protección de Datos Personales y garantía de los derechos digitales</w:t>
        </w:r>
      </w:hyperlink>
    </w:p>
    <w:p>
      <w:pPr>
        <w:keepLines/>
        <w:spacing w:after="100"/>
        <w:ind w:left="259" w:hanging="259"/>
      </w:pPr>
      <w:r>
        <w:rPr>
          <w:rFonts w:ascii="Aptos" w:hAnsi="Aptos" w:eastAsia="Aptos"/>
          <w:b/>
          <w:color w:val="1D8A79"/>
          <w:sz w:val="19"/>
        </w:rPr>
        <w:t xml:space="preserve">•  </w:t>
      </w:r>
      <w:hyperlink r:id="rId15">
        <w:r>
          <w:rPr>
            <w:rFonts w:ascii="Aptos" w:hAnsi="Aptos"/>
            <w:color w:val="176B87"/>
            <w:u w:val="single"/>
            <w:sz w:val="19"/>
          </w:rPr>
          <w:t>AEPD — Preguntas frecuentes sobre comunidades de propietarios</w:t>
        </w:r>
      </w:hyperlink>
    </w:p>
    <w:p>
      <w:pPr>
        <w:keepLines/>
        <w:spacing w:after="100"/>
        <w:ind w:left="259" w:hanging="259"/>
      </w:pPr>
      <w:r>
        <w:rPr>
          <w:rFonts w:ascii="Aptos" w:hAnsi="Aptos" w:eastAsia="Aptos"/>
          <w:b/>
          <w:color w:val="1D8A79"/>
          <w:sz w:val="19"/>
        </w:rPr>
        <w:t xml:space="preserve">•  </w:t>
      </w:r>
      <w:hyperlink r:id="rId16">
        <w:r>
          <w:rPr>
            <w:rFonts w:ascii="Aptos" w:hAnsi="Aptos"/>
            <w:color w:val="176B87"/>
            <w:u w:val="single"/>
            <w:sz w:val="19"/>
          </w:rPr>
          <w:t>AEPD — Guía sectorial Protección de datos y administración de fincas</w:t>
        </w:r>
      </w:hyperlink>
    </w:p>
    <w:p>
      <w:pPr>
        <w:keepLines/>
        <w:spacing w:after="100"/>
        <w:ind w:left="259" w:hanging="259"/>
      </w:pPr>
      <w:r>
        <w:rPr>
          <w:rFonts w:ascii="Aptos" w:hAnsi="Aptos" w:eastAsia="Aptos"/>
          <w:b/>
          <w:color w:val="1D8A79"/>
          <w:sz w:val="19"/>
        </w:rPr>
        <w:t xml:space="preserve">•  </w:t>
      </w:r>
      <w:hyperlink r:id="rId17">
        <w:r>
          <w:rPr>
            <w:rFonts w:ascii="Aptos" w:hAnsi="Aptos"/>
            <w:color w:val="176B87"/>
            <w:u w:val="single"/>
            <w:sz w:val="19"/>
          </w:rPr>
          <w:t>AEPD — Acceso de un propietario a los gastos de su comunidad</w:t>
        </w:r>
      </w:hyperlink>
    </w:p>
    <w:p>
      <w:pPr>
        <w:keepLines/>
        <w:spacing w:after="100"/>
        <w:ind w:left="259" w:hanging="259"/>
      </w:pPr>
      <w:r>
        <w:rPr>
          <w:rFonts w:ascii="Aptos" w:hAnsi="Aptos" w:eastAsia="Aptos"/>
          <w:b/>
          <w:color w:val="1D8A79"/>
          <w:sz w:val="19"/>
        </w:rPr>
        <w:t xml:space="preserve">•  </w:t>
      </w:r>
      <w:hyperlink r:id="rId18">
        <w:r>
          <w:rPr>
            <w:rFonts w:ascii="Aptos" w:hAnsi="Aptos"/>
            <w:color w:val="176B87"/>
            <w:u w:val="single"/>
            <w:sz w:val="19"/>
          </w:rPr>
          <w:t>AEPD — Publicación de relación de vecinos morosos</w:t>
        </w:r>
      </w:hyperlink>
    </w:p>
    <w:p>
      <w:pPr>
        <w:keepLines/>
        <w:spacing w:after="100"/>
        <w:ind w:left="259" w:hanging="259"/>
      </w:pPr>
      <w:r>
        <w:rPr>
          <w:rFonts w:ascii="Aptos" w:hAnsi="Aptos" w:eastAsia="Aptos"/>
          <w:b/>
          <w:color w:val="1D8A79"/>
          <w:sz w:val="19"/>
        </w:rPr>
        <w:t xml:space="preserve">•  </w:t>
      </w:r>
      <w:hyperlink r:id="rId19">
        <w:r>
          <w:rPr>
            <w:rFonts w:ascii="Aptos" w:hAnsi="Aptos"/>
            <w:color w:val="176B87"/>
            <w:u w:val="single"/>
            <w:sz w:val="19"/>
          </w:rPr>
          <w:t>AEPD — Videovigilancia en comunidades</w:t>
        </w:r>
      </w:hyperlink>
    </w:p>
    <w:p>
      <w:pPr>
        <w:keepLines/>
        <w:spacing w:after="100"/>
        <w:ind w:left="259" w:hanging="259"/>
      </w:pPr>
      <w:r>
        <w:rPr>
          <w:rFonts w:ascii="Aptos" w:hAnsi="Aptos" w:eastAsia="Aptos"/>
          <w:b/>
          <w:color w:val="1D8A79"/>
          <w:sz w:val="19"/>
        </w:rPr>
        <w:t xml:space="preserve">•  </w:t>
      </w:r>
      <w:hyperlink r:id="rId20">
        <w:r>
          <w:rPr>
            <w:rFonts w:ascii="Aptos" w:hAnsi="Aptos"/>
            <w:color w:val="176B87"/>
            <w:u w:val="single"/>
            <w:sz w:val="19"/>
          </w:rPr>
          <w:t>AEPD — Notificación de brechas de datos personales</w:t>
        </w:r>
      </w:hyperlink>
    </w:p>
    <w:p>
      <w:pPr>
        <w:keepLines/>
        <w:spacing w:after="100"/>
        <w:ind w:left="259" w:hanging="259"/>
      </w:pPr>
      <w:r>
        <w:rPr>
          <w:rFonts w:ascii="Aptos" w:hAnsi="Aptos" w:eastAsia="Aptos"/>
          <w:b/>
          <w:color w:val="1D8A79"/>
          <w:sz w:val="19"/>
        </w:rPr>
        <w:t xml:space="preserve">•  </w:t>
      </w:r>
      <w:hyperlink r:id="rId21">
        <w:r>
          <w:rPr>
            <w:rFonts w:ascii="Aptos" w:hAnsi="Aptos"/>
            <w:color w:val="176B87"/>
            <w:u w:val="single"/>
            <w:sz w:val="19"/>
          </w:rPr>
          <w:t>Reglamento (UE) n.º 910/2014 — eIDAS</w:t>
        </w:r>
      </w:hyperlink>
    </w:p>
    <w:p>
      <w:pPr>
        <w:keepLines/>
        <w:spacing w:after="100"/>
        <w:ind w:left="259" w:hanging="259"/>
      </w:pPr>
      <w:r>
        <w:rPr>
          <w:rFonts w:ascii="Aptos" w:hAnsi="Aptos" w:eastAsia="Aptos"/>
          <w:b/>
          <w:color w:val="1D8A79"/>
          <w:sz w:val="19"/>
        </w:rPr>
        <w:t xml:space="preserve">•  </w:t>
      </w:r>
      <w:hyperlink r:id="rId22">
        <w:r>
          <w:rPr>
            <w:rFonts w:ascii="Aptos" w:hAnsi="Aptos"/>
            <w:color w:val="176B87"/>
            <w:u w:val="single"/>
            <w:sz w:val="19"/>
          </w:rPr>
          <w:t>Ley 6/2020, reguladora de determinados aspectos de los servicios electrónicos de confianza</w:t>
        </w:r>
      </w:hyperlink>
    </w:p>
    <w:p>
      <w:pPr>
        <w:keepLines/>
        <w:spacing w:after="100"/>
        <w:ind w:left="259" w:hanging="259"/>
      </w:pPr>
      <w:r>
        <w:rPr>
          <w:rFonts w:ascii="Aptos" w:hAnsi="Aptos" w:eastAsia="Aptos"/>
          <w:b/>
          <w:color w:val="1D8A79"/>
          <w:sz w:val="19"/>
        </w:rPr>
        <w:t xml:space="preserve">•  </w:t>
      </w:r>
      <w:hyperlink r:id="rId23">
        <w:r>
          <w:rPr>
            <w:rFonts w:ascii="Aptos" w:hAnsi="Aptos"/>
            <w:color w:val="176B87"/>
            <w:u w:val="single"/>
            <w:sz w:val="19"/>
          </w:rPr>
          <w:t>W3C — Web Content Accessibility Guidelines (WCAG) 2.2</w:t>
        </w:r>
      </w:hyperlink>
    </w:p>
    <w:p>
      <w:pPr>
        <w:keepLines/>
        <w:spacing w:before="160" w:after="80" w:line="269" w:lineRule="auto"/>
      </w:pPr>
      <w:r>
        <w:rPr>
          <w:rFonts w:ascii="Aptos" w:hAnsi="Aptos" w:eastAsia="Aptos"/>
          <w:b w:val="0"/>
          <w:i/>
          <w:color w:val="647481"/>
          <w:sz w:val="18"/>
        </w:rPr>
        <w:t>Consulta realizada el 12 de agosto de 2026. La normativa y los criterios pueden cambiar; deben verificarse de nuevo antes del desarrollo y de cada lanzamiento territorial.</w:t>
      </w:r>
    </w:p>
    <w:p>
      <w:bookmarkStart w:id="111" w:name="sec_101"/>
      <w:pPr>
        <w:pStyle w:val="Heading1"/>
        <w:keepLines/>
      </w:pPr>
      <w:r>
        <w:t>Anexo G. Checklist de preparación para producción</w:t>
      </w:r>
      <w:bookmarkEnd w:id="111"/>
    </w:p>
    <w:tbl>
      <w:tblPr>
        <w:tblW w:type="dxa" w:w="9360"/>
        <w:jc w:val="left"/>
        <w:tblLayout w:type="fixed"/>
        <w:tblLook w:firstColumn="1" w:firstRow="1" w:lastColumn="0" w:lastRow="0" w:noHBand="0" w:noVBand="1" w:val="04A0"/>
        <w:tblInd w:w="160" w:type="dxa"/>
        <w:tblBorders>
          <w:top w:val="single" w:sz="5" w:space="0" w:color="D8E1E5"/>
          <w:left w:val="single" w:sz="5" w:space="0" w:color="D8E1E5"/>
          <w:bottom w:val="single" w:sz="5" w:space="0" w:color="D8E1E5"/>
          <w:right w:val="single" w:sz="5" w:space="0" w:color="D8E1E5"/>
          <w:insideH w:val="single" w:sz="5" w:space="0" w:color="D8E1E5"/>
          <w:insideV w:val="single" w:sz="5" w:space="0" w:color="D8E1E5"/>
        </w:tblBorders>
      </w:tblPr>
      <w:tblGrid>
        <w:gridCol w:w="4680"/>
        <w:gridCol w:w="4680"/>
      </w:tblGrid>
      <w:tr>
        <w:trPr>
          <w:cantSplit/>
          <w:trHeight w:hRule="atLeast"/>
        </w:trPr>
        <w:tc>
          <w:tcPr>
            <w:tcW w:type="dxa" w:w="4680"/>
            <w:tcMar>
              <w:top w:w="140" w:type="dxa"/>
              <w:start w:w="160" w:type="dxa"/>
              <w:bottom w:w="140" w:type="dxa"/>
              <w:end w:w="160" w:type="dxa"/>
            </w:tcMar>
            <w:vAlign w:val="center"/>
            <w:shd w:fill="EAF6F3" w:val="clear"/>
          </w:tcPr>
          <w:p>
            <w:pPr>
              <w:spacing w:before="0" w:after="100" w:line="269" w:lineRule="auto"/>
            </w:pPr>
            <w:r>
              <w:rPr>
                <w:rFonts w:ascii="Aptos" w:hAnsi="Aptos" w:eastAsia="Aptos"/>
                <w:b/>
                <w:i w:val="0"/>
                <w:color w:val="16324F"/>
                <w:sz w:val="22"/>
              </w:rPr>
              <w:t>Producto</w:t>
            </w:r>
          </w:p>
          <w:p>
            <w:pPr>
              <w:spacing w:after="30" w:line="245" w:lineRule="auto"/>
            </w:pPr>
            <w:r>
              <w:rPr>
                <w:rFonts w:ascii="Aptos" w:hAnsi="Aptos" w:eastAsia="Aptos"/>
                <w:b/>
                <w:color w:val="1D8A79"/>
                <w:sz w:val="18"/>
              </w:rPr>
              <w:t xml:space="preserve">☐  </w:t>
            </w:r>
            <w:r>
              <w:rPr>
                <w:rFonts w:ascii="Aptos" w:hAnsi="Aptos" w:eastAsia="Aptos"/>
                <w:color w:val="24323E"/>
                <w:sz w:val="18"/>
              </w:rPr>
              <w:t>Alcance MVP aprobado</w:t>
            </w:r>
          </w:p>
          <w:p>
            <w:pPr>
              <w:spacing w:after="30" w:line="245" w:lineRule="auto"/>
            </w:pPr>
            <w:r>
              <w:rPr>
                <w:rFonts w:ascii="Aptos" w:hAnsi="Aptos" w:eastAsia="Aptos"/>
                <w:b/>
                <w:color w:val="1D8A79"/>
                <w:sz w:val="18"/>
              </w:rPr>
              <w:t xml:space="preserve">☐  </w:t>
            </w:r>
            <w:r>
              <w:rPr>
                <w:rFonts w:ascii="Aptos" w:hAnsi="Aptos" w:eastAsia="Aptos"/>
                <w:color w:val="24323E"/>
                <w:sz w:val="18"/>
              </w:rPr>
              <w:t>Topologías piloto cubiertas</w:t>
            </w:r>
          </w:p>
          <w:p>
            <w:pPr>
              <w:spacing w:after="30" w:line="245" w:lineRule="auto"/>
            </w:pPr>
            <w:r>
              <w:rPr>
                <w:rFonts w:ascii="Aptos" w:hAnsi="Aptos" w:eastAsia="Aptos"/>
                <w:b/>
                <w:color w:val="1D8A79"/>
                <w:sz w:val="18"/>
              </w:rPr>
              <w:t xml:space="preserve">☐  </w:t>
            </w:r>
            <w:r>
              <w:rPr>
                <w:rFonts w:ascii="Aptos" w:hAnsi="Aptos" w:eastAsia="Aptos"/>
                <w:color w:val="24323E"/>
                <w:sz w:val="18"/>
              </w:rPr>
              <w:t>Flujos críticos prototipados</w:t>
            </w:r>
          </w:p>
          <w:p>
            <w:pPr>
              <w:spacing w:after="30" w:line="245" w:lineRule="auto"/>
            </w:pPr>
            <w:r>
              <w:rPr>
                <w:rFonts w:ascii="Aptos" w:hAnsi="Aptos" w:eastAsia="Aptos"/>
                <w:b/>
                <w:color w:val="1D8A79"/>
                <w:sz w:val="18"/>
              </w:rPr>
              <w:t xml:space="preserve">☐  </w:t>
            </w:r>
            <w:r>
              <w:rPr>
                <w:rFonts w:ascii="Aptos" w:hAnsi="Aptos" w:eastAsia="Aptos"/>
                <w:color w:val="24323E"/>
                <w:sz w:val="18"/>
              </w:rPr>
              <w:t>Alternativa no digital definida</w:t>
            </w:r>
          </w:p>
          <w:p>
            <w:pPr>
              <w:spacing w:after="30" w:line="245" w:lineRule="auto"/>
            </w:pPr>
            <w:r>
              <w:rPr>
                <w:rFonts w:ascii="Aptos" w:hAnsi="Aptos" w:eastAsia="Aptos"/>
                <w:b/>
                <w:color w:val="1D8A79"/>
                <w:sz w:val="18"/>
              </w:rPr>
              <w:t xml:space="preserve">☐  </w:t>
            </w:r>
            <w:r>
              <w:rPr>
                <w:rFonts w:ascii="Aptos" w:hAnsi="Aptos" w:eastAsia="Aptos"/>
                <w:color w:val="24323E"/>
                <w:sz w:val="18"/>
              </w:rPr>
              <w:t>Soporte y escalado documentados</w:t>
            </w:r>
          </w:p>
        </w:tc>
        <w:tc>
          <w:tcPr>
            <w:tcW w:type="dxa" w:w="4680"/>
            <w:tcMar>
              <w:top w:w="140" w:type="dxa"/>
              <w:start w:w="160" w:type="dxa"/>
              <w:bottom w:w="140" w:type="dxa"/>
              <w:end w:w="160" w:type="dxa"/>
            </w:tcMar>
            <w:vAlign w:val="center"/>
            <w:shd w:fill="EAF3F7" w:val="clear"/>
          </w:tcPr>
          <w:p>
            <w:pPr>
              <w:spacing w:before="0" w:after="100" w:line="269" w:lineRule="auto"/>
            </w:pPr>
            <w:r>
              <w:rPr>
                <w:rFonts w:ascii="Aptos" w:hAnsi="Aptos" w:eastAsia="Aptos"/>
                <w:b/>
                <w:i w:val="0"/>
                <w:color w:val="16324F"/>
                <w:sz w:val="22"/>
              </w:rPr>
              <w:t>Legal y privacidad</w:t>
            </w:r>
          </w:p>
          <w:p>
            <w:pPr>
              <w:spacing w:after="30" w:line="245" w:lineRule="auto"/>
            </w:pPr>
            <w:r>
              <w:rPr>
                <w:rFonts w:ascii="Aptos" w:hAnsi="Aptos" w:eastAsia="Aptos"/>
                <w:b/>
                <w:color w:val="1D8A79"/>
                <w:sz w:val="18"/>
              </w:rPr>
              <w:t xml:space="preserve">☐  </w:t>
            </w:r>
            <w:r>
              <w:rPr>
                <w:rFonts w:ascii="Aptos" w:hAnsi="Aptos" w:eastAsia="Aptos"/>
                <w:color w:val="24323E"/>
                <w:sz w:val="18"/>
              </w:rPr>
              <w:t>Dictamen LPH/territorial</w:t>
            </w:r>
          </w:p>
          <w:p>
            <w:pPr>
              <w:spacing w:after="30" w:line="245" w:lineRule="auto"/>
            </w:pPr>
            <w:r>
              <w:rPr>
                <w:rFonts w:ascii="Aptos" w:hAnsi="Aptos" w:eastAsia="Aptos"/>
                <w:b/>
                <w:color w:val="1D8A79"/>
                <w:sz w:val="18"/>
              </w:rPr>
              <w:t xml:space="preserve">☐  </w:t>
            </w:r>
            <w:r>
              <w:rPr>
                <w:rFonts w:ascii="Aptos" w:hAnsi="Aptos" w:eastAsia="Aptos"/>
                <w:color w:val="24323E"/>
                <w:sz w:val="18"/>
              </w:rPr>
              <w:t>RAT y bases</w:t>
            </w:r>
          </w:p>
          <w:p>
            <w:pPr>
              <w:spacing w:after="30" w:line="245" w:lineRule="auto"/>
            </w:pPr>
            <w:r>
              <w:rPr>
                <w:rFonts w:ascii="Aptos" w:hAnsi="Aptos" w:eastAsia="Aptos"/>
                <w:b/>
                <w:color w:val="1D8A79"/>
                <w:sz w:val="18"/>
              </w:rPr>
              <w:t xml:space="preserve">☐  </w:t>
            </w:r>
            <w:r>
              <w:rPr>
                <w:rFonts w:ascii="Aptos" w:hAnsi="Aptos" w:eastAsia="Aptos"/>
                <w:color w:val="24323E"/>
                <w:sz w:val="18"/>
              </w:rPr>
              <w:t>Contratos art. 28</w:t>
            </w:r>
          </w:p>
          <w:p>
            <w:pPr>
              <w:spacing w:after="30" w:line="245" w:lineRule="auto"/>
            </w:pPr>
            <w:r>
              <w:rPr>
                <w:rFonts w:ascii="Aptos" w:hAnsi="Aptos" w:eastAsia="Aptos"/>
                <w:b/>
                <w:color w:val="1D8A79"/>
                <w:sz w:val="18"/>
              </w:rPr>
              <w:t xml:space="preserve">☐  </w:t>
            </w:r>
            <w:r>
              <w:rPr>
                <w:rFonts w:ascii="Aptos" w:hAnsi="Aptos" w:eastAsia="Aptos"/>
                <w:color w:val="24323E"/>
                <w:sz w:val="18"/>
              </w:rPr>
              <w:t>Subencargados</w:t>
            </w:r>
          </w:p>
          <w:p>
            <w:pPr>
              <w:spacing w:after="30" w:line="245" w:lineRule="auto"/>
            </w:pPr>
            <w:r>
              <w:rPr>
                <w:rFonts w:ascii="Aptos" w:hAnsi="Aptos" w:eastAsia="Aptos"/>
                <w:b/>
                <w:color w:val="1D8A79"/>
                <w:sz w:val="18"/>
              </w:rPr>
              <w:t xml:space="preserve">☐  </w:t>
            </w:r>
            <w:r>
              <w:rPr>
                <w:rFonts w:ascii="Aptos" w:hAnsi="Aptos" w:eastAsia="Aptos"/>
                <w:color w:val="24323E"/>
                <w:sz w:val="18"/>
              </w:rPr>
              <w:t>Retención</w:t>
            </w:r>
          </w:p>
          <w:p>
            <w:pPr>
              <w:spacing w:after="30" w:line="245" w:lineRule="auto"/>
            </w:pPr>
            <w:r>
              <w:rPr>
                <w:rFonts w:ascii="Aptos" w:hAnsi="Aptos" w:eastAsia="Aptos"/>
                <w:b/>
                <w:color w:val="1D8A79"/>
                <w:sz w:val="18"/>
              </w:rPr>
              <w:t xml:space="preserve">☐  </w:t>
            </w:r>
            <w:r>
              <w:rPr>
                <w:rFonts w:ascii="Aptos" w:hAnsi="Aptos" w:eastAsia="Aptos"/>
                <w:color w:val="24323E"/>
                <w:sz w:val="18"/>
              </w:rPr>
              <w:t>Derechos</w:t>
            </w:r>
          </w:p>
          <w:p>
            <w:pPr>
              <w:spacing w:after="30" w:line="245" w:lineRule="auto"/>
            </w:pPr>
            <w:r>
              <w:rPr>
                <w:rFonts w:ascii="Aptos" w:hAnsi="Aptos" w:eastAsia="Aptos"/>
                <w:b/>
                <w:color w:val="1D8A79"/>
                <w:sz w:val="18"/>
              </w:rPr>
              <w:t xml:space="preserve">☐  </w:t>
            </w:r>
            <w:r>
              <w:rPr>
                <w:rFonts w:ascii="Aptos" w:hAnsi="Aptos" w:eastAsia="Aptos"/>
                <w:color w:val="24323E"/>
                <w:sz w:val="18"/>
              </w:rPr>
              <w:t>Brechas</w:t>
            </w:r>
          </w:p>
          <w:p>
            <w:pPr>
              <w:spacing w:after="30" w:line="245" w:lineRule="auto"/>
            </w:pPr>
            <w:r>
              <w:rPr>
                <w:rFonts w:ascii="Aptos" w:hAnsi="Aptos" w:eastAsia="Aptos"/>
                <w:b/>
                <w:color w:val="1D8A79"/>
                <w:sz w:val="18"/>
              </w:rPr>
              <w:t xml:space="preserve">☐  </w:t>
            </w:r>
            <w:r>
              <w:rPr>
                <w:rFonts w:ascii="Aptos" w:hAnsi="Aptos" w:eastAsia="Aptos"/>
                <w:color w:val="24323E"/>
                <w:sz w:val="18"/>
              </w:rPr>
              <w:t>EIPD si procede</w:t>
            </w:r>
          </w:p>
        </w:tc>
      </w:tr>
      <w:tr>
        <w:trPr>
          <w:cantSplit/>
          <w:trHeight w:hRule="atLeast"/>
        </w:trPr>
        <w:tc>
          <w:tcPr>
            <w:tcW w:type="dxa" w:w="4680"/>
            <w:tcMar>
              <w:top w:w="140" w:type="dxa"/>
              <w:start w:w="160" w:type="dxa"/>
              <w:bottom w:w="140" w:type="dxa"/>
              <w:end w:w="160" w:type="dxa"/>
            </w:tcMar>
            <w:vAlign w:val="center"/>
            <w:shd w:fill="EAF3F7" w:val="clear"/>
          </w:tcPr>
          <w:p>
            <w:pPr>
              <w:spacing w:before="0" w:after="100" w:line="269" w:lineRule="auto"/>
            </w:pPr>
            <w:r>
              <w:rPr>
                <w:rFonts w:ascii="Aptos" w:hAnsi="Aptos" w:eastAsia="Aptos"/>
                <w:b/>
                <w:i w:val="0"/>
                <w:color w:val="16324F"/>
                <w:sz w:val="22"/>
              </w:rPr>
              <w:t>Seguridad</w:t>
            </w:r>
          </w:p>
          <w:p>
            <w:pPr>
              <w:spacing w:after="30" w:line="245" w:lineRule="auto"/>
            </w:pPr>
            <w:r>
              <w:rPr>
                <w:rFonts w:ascii="Aptos" w:hAnsi="Aptos" w:eastAsia="Aptos"/>
                <w:b/>
                <w:color w:val="1D8A79"/>
                <w:sz w:val="18"/>
              </w:rPr>
              <w:t xml:space="preserve">☐  </w:t>
            </w:r>
            <w:r>
              <w:rPr>
                <w:rFonts w:ascii="Aptos" w:hAnsi="Aptos" w:eastAsia="Aptos"/>
                <w:color w:val="24323E"/>
                <w:sz w:val="18"/>
              </w:rPr>
              <w:t>Threat model</w:t>
            </w:r>
          </w:p>
          <w:p>
            <w:pPr>
              <w:spacing w:after="30" w:line="245" w:lineRule="auto"/>
            </w:pPr>
            <w:r>
              <w:rPr>
                <w:rFonts w:ascii="Aptos" w:hAnsi="Aptos" w:eastAsia="Aptos"/>
                <w:b/>
                <w:color w:val="1D8A79"/>
                <w:sz w:val="18"/>
              </w:rPr>
              <w:t xml:space="preserve">☐  </w:t>
            </w:r>
            <w:r>
              <w:rPr>
                <w:rFonts w:ascii="Aptos" w:hAnsi="Aptos" w:eastAsia="Aptos"/>
                <w:color w:val="24323E"/>
                <w:sz w:val="18"/>
              </w:rPr>
              <w:t>MFA/passkeys</w:t>
            </w:r>
          </w:p>
          <w:p>
            <w:pPr>
              <w:spacing w:after="30" w:line="245" w:lineRule="auto"/>
            </w:pPr>
            <w:r>
              <w:rPr>
                <w:rFonts w:ascii="Aptos" w:hAnsi="Aptos" w:eastAsia="Aptos"/>
                <w:b/>
                <w:color w:val="1D8A79"/>
                <w:sz w:val="18"/>
              </w:rPr>
              <w:t xml:space="preserve">☐  </w:t>
            </w:r>
            <w:r>
              <w:rPr>
                <w:rFonts w:ascii="Aptos" w:hAnsi="Aptos" w:eastAsia="Aptos"/>
                <w:color w:val="24323E"/>
                <w:sz w:val="18"/>
              </w:rPr>
              <w:t>RLS y tests</w:t>
            </w:r>
          </w:p>
          <w:p>
            <w:pPr>
              <w:spacing w:after="30" w:line="245" w:lineRule="auto"/>
            </w:pPr>
            <w:r>
              <w:rPr>
                <w:rFonts w:ascii="Aptos" w:hAnsi="Aptos" w:eastAsia="Aptos"/>
                <w:b/>
                <w:color w:val="1D8A79"/>
                <w:sz w:val="18"/>
              </w:rPr>
              <w:t xml:space="preserve">☐  </w:t>
            </w:r>
            <w:r>
              <w:rPr>
                <w:rFonts w:ascii="Aptos" w:hAnsi="Aptos" w:eastAsia="Aptos"/>
                <w:color w:val="24323E"/>
                <w:sz w:val="18"/>
              </w:rPr>
              <w:t>Pentest</w:t>
            </w:r>
          </w:p>
          <w:p>
            <w:pPr>
              <w:spacing w:after="30" w:line="245" w:lineRule="auto"/>
            </w:pPr>
            <w:r>
              <w:rPr>
                <w:rFonts w:ascii="Aptos" w:hAnsi="Aptos" w:eastAsia="Aptos"/>
                <w:b/>
                <w:color w:val="1D8A79"/>
                <w:sz w:val="18"/>
              </w:rPr>
              <w:t xml:space="preserve">☐  </w:t>
            </w:r>
            <w:r>
              <w:rPr>
                <w:rFonts w:ascii="Aptos" w:hAnsi="Aptos" w:eastAsia="Aptos"/>
                <w:color w:val="24323E"/>
                <w:sz w:val="18"/>
              </w:rPr>
              <w:t>Backups restaurados</w:t>
            </w:r>
          </w:p>
          <w:p>
            <w:pPr>
              <w:spacing w:after="30" w:line="245" w:lineRule="auto"/>
            </w:pPr>
            <w:r>
              <w:rPr>
                <w:rFonts w:ascii="Aptos" w:hAnsi="Aptos" w:eastAsia="Aptos"/>
                <w:b/>
                <w:color w:val="1D8A79"/>
                <w:sz w:val="18"/>
              </w:rPr>
              <w:t xml:space="preserve">☐  </w:t>
            </w:r>
            <w:r>
              <w:rPr>
                <w:rFonts w:ascii="Aptos" w:hAnsi="Aptos" w:eastAsia="Aptos"/>
                <w:color w:val="24323E"/>
                <w:sz w:val="18"/>
              </w:rPr>
              <w:t>JIT soporte</w:t>
            </w:r>
          </w:p>
          <w:p>
            <w:pPr>
              <w:spacing w:after="30" w:line="245" w:lineRule="auto"/>
            </w:pPr>
            <w:r>
              <w:rPr>
                <w:rFonts w:ascii="Aptos" w:hAnsi="Aptos" w:eastAsia="Aptos"/>
                <w:b/>
                <w:color w:val="1D8A79"/>
                <w:sz w:val="18"/>
              </w:rPr>
              <w:t xml:space="preserve">☐  </w:t>
            </w:r>
            <w:r>
              <w:rPr>
                <w:rFonts w:ascii="Aptos" w:hAnsi="Aptos" w:eastAsia="Aptos"/>
                <w:color w:val="24323E"/>
                <w:sz w:val="18"/>
              </w:rPr>
              <w:t>SIEM/alertas</w:t>
            </w:r>
          </w:p>
          <w:p>
            <w:pPr>
              <w:spacing w:after="30" w:line="245" w:lineRule="auto"/>
            </w:pPr>
            <w:r>
              <w:rPr>
                <w:rFonts w:ascii="Aptos" w:hAnsi="Aptos" w:eastAsia="Aptos"/>
                <w:b/>
                <w:color w:val="1D8A79"/>
                <w:sz w:val="18"/>
              </w:rPr>
              <w:t xml:space="preserve">☐  </w:t>
            </w:r>
            <w:r>
              <w:rPr>
                <w:rFonts w:ascii="Aptos" w:hAnsi="Aptos" w:eastAsia="Aptos"/>
                <w:color w:val="24323E"/>
                <w:sz w:val="18"/>
              </w:rPr>
              <w:t>Plan de incidente</w:t>
            </w:r>
          </w:p>
        </w:tc>
        <w:tc>
          <w:tcPr>
            <w:tcW w:type="dxa" w:w="4680"/>
            <w:tcMar>
              <w:top w:w="140" w:type="dxa"/>
              <w:start w:w="160" w:type="dxa"/>
              <w:bottom w:w="140" w:type="dxa"/>
              <w:end w:w="160" w:type="dxa"/>
            </w:tcMar>
            <w:vAlign w:val="center"/>
            <w:shd w:fill="EAF6F3" w:val="clear"/>
          </w:tcPr>
          <w:p>
            <w:pPr>
              <w:spacing w:before="0" w:after="100" w:line="269" w:lineRule="auto"/>
            </w:pPr>
            <w:r>
              <w:rPr>
                <w:rFonts w:ascii="Aptos" w:hAnsi="Aptos" w:eastAsia="Aptos"/>
                <w:b/>
                <w:i w:val="0"/>
                <w:color w:val="16324F"/>
                <w:sz w:val="22"/>
              </w:rPr>
              <w:t>Operación</w:t>
            </w:r>
          </w:p>
          <w:p>
            <w:pPr>
              <w:spacing w:after="30" w:line="245" w:lineRule="auto"/>
            </w:pPr>
            <w:r>
              <w:rPr>
                <w:rFonts w:ascii="Aptos" w:hAnsi="Aptos" w:eastAsia="Aptos"/>
                <w:b/>
                <w:color w:val="1D8A79"/>
                <w:sz w:val="18"/>
              </w:rPr>
              <w:t xml:space="preserve">☐  </w:t>
            </w:r>
            <w:r>
              <w:rPr>
                <w:rFonts w:ascii="Aptos" w:hAnsi="Aptos" w:eastAsia="Aptos"/>
                <w:color w:val="24323E"/>
                <w:sz w:val="18"/>
              </w:rPr>
              <w:t>Importación</w:t>
            </w:r>
          </w:p>
          <w:p>
            <w:pPr>
              <w:spacing w:after="30" w:line="245" w:lineRule="auto"/>
            </w:pPr>
            <w:r>
              <w:rPr>
                <w:rFonts w:ascii="Aptos" w:hAnsi="Aptos" w:eastAsia="Aptos"/>
                <w:b/>
                <w:color w:val="1D8A79"/>
                <w:sz w:val="18"/>
              </w:rPr>
              <w:t xml:space="preserve">☐  </w:t>
            </w:r>
            <w:r>
              <w:rPr>
                <w:rFonts w:ascii="Aptos" w:hAnsi="Aptos" w:eastAsia="Aptos"/>
                <w:color w:val="24323E"/>
                <w:sz w:val="18"/>
              </w:rPr>
              <w:t>Conciliación inicial</w:t>
            </w:r>
          </w:p>
          <w:p>
            <w:pPr>
              <w:spacing w:after="30" w:line="245" w:lineRule="auto"/>
            </w:pPr>
            <w:r>
              <w:rPr>
                <w:rFonts w:ascii="Aptos" w:hAnsi="Aptos" w:eastAsia="Aptos"/>
                <w:b/>
                <w:color w:val="1D8A79"/>
                <w:sz w:val="18"/>
              </w:rPr>
              <w:t xml:space="preserve">☐  </w:t>
            </w:r>
            <w:r>
              <w:rPr>
                <w:rFonts w:ascii="Aptos" w:hAnsi="Aptos" w:eastAsia="Aptos"/>
                <w:color w:val="24323E"/>
                <w:sz w:val="18"/>
              </w:rPr>
              <w:t>Plantillas</w:t>
            </w:r>
          </w:p>
          <w:p>
            <w:pPr>
              <w:spacing w:after="30" w:line="245" w:lineRule="auto"/>
            </w:pPr>
            <w:r>
              <w:rPr>
                <w:rFonts w:ascii="Aptos" w:hAnsi="Aptos" w:eastAsia="Aptos"/>
                <w:b/>
                <w:color w:val="1D8A79"/>
                <w:sz w:val="18"/>
              </w:rPr>
              <w:t xml:space="preserve">☐  </w:t>
            </w:r>
            <w:r>
              <w:rPr>
                <w:rFonts w:ascii="Aptos" w:hAnsi="Aptos" w:eastAsia="Aptos"/>
                <w:color w:val="24323E"/>
                <w:sz w:val="18"/>
              </w:rPr>
              <w:t>Onboarding</w:t>
            </w:r>
          </w:p>
          <w:p>
            <w:pPr>
              <w:spacing w:after="30" w:line="245" w:lineRule="auto"/>
            </w:pPr>
            <w:r>
              <w:rPr>
                <w:rFonts w:ascii="Aptos" w:hAnsi="Aptos" w:eastAsia="Aptos"/>
                <w:b/>
                <w:color w:val="1D8A79"/>
                <w:sz w:val="18"/>
              </w:rPr>
              <w:t xml:space="preserve">☐  </w:t>
            </w:r>
            <w:r>
              <w:rPr>
                <w:rFonts w:ascii="Aptos" w:hAnsi="Aptos" w:eastAsia="Aptos"/>
                <w:color w:val="24323E"/>
                <w:sz w:val="18"/>
              </w:rPr>
              <w:t>Formación</w:t>
            </w:r>
          </w:p>
          <w:p>
            <w:pPr>
              <w:spacing w:after="30" w:line="245" w:lineRule="auto"/>
            </w:pPr>
            <w:r>
              <w:rPr>
                <w:rFonts w:ascii="Aptos" w:hAnsi="Aptos" w:eastAsia="Aptos"/>
                <w:b/>
                <w:color w:val="1D8A79"/>
                <w:sz w:val="18"/>
              </w:rPr>
              <w:t xml:space="preserve">☐  </w:t>
            </w:r>
            <w:r>
              <w:rPr>
                <w:rFonts w:ascii="Aptos" w:hAnsi="Aptos" w:eastAsia="Aptos"/>
                <w:color w:val="24323E"/>
                <w:sz w:val="18"/>
              </w:rPr>
              <w:t>SLA</w:t>
            </w:r>
          </w:p>
          <w:p>
            <w:pPr>
              <w:spacing w:after="30" w:line="245" w:lineRule="auto"/>
            </w:pPr>
            <w:r>
              <w:rPr>
                <w:rFonts w:ascii="Aptos" w:hAnsi="Aptos" w:eastAsia="Aptos"/>
                <w:b/>
                <w:color w:val="1D8A79"/>
                <w:sz w:val="18"/>
              </w:rPr>
              <w:t xml:space="preserve">☐  </w:t>
            </w:r>
            <w:r>
              <w:rPr>
                <w:rFonts w:ascii="Aptos" w:hAnsi="Aptos" w:eastAsia="Aptos"/>
                <w:color w:val="24323E"/>
                <w:sz w:val="18"/>
              </w:rPr>
              <w:t>Transición de administrador ensayada</w:t>
            </w:r>
          </w:p>
        </w:tc>
      </w:tr>
      <w:tr>
        <w:trPr>
          <w:cantSplit/>
          <w:trHeight w:hRule="atLeast"/>
        </w:trPr>
        <w:tc>
          <w:tcPr>
            <w:tcW w:type="dxa" w:w="4680"/>
            <w:tcMar>
              <w:top w:w="140" w:type="dxa"/>
              <w:start w:w="160" w:type="dxa"/>
              <w:bottom w:w="140" w:type="dxa"/>
              <w:end w:w="160" w:type="dxa"/>
            </w:tcMar>
            <w:vAlign w:val="center"/>
            <w:shd w:fill="EAF6F3" w:val="clear"/>
          </w:tcPr>
          <w:p>
            <w:pPr>
              <w:spacing w:before="0" w:after="100" w:line="269" w:lineRule="auto"/>
            </w:pPr>
            <w:r>
              <w:rPr>
                <w:rFonts w:ascii="Aptos" w:hAnsi="Aptos" w:eastAsia="Aptos"/>
                <w:b/>
                <w:i w:val="0"/>
                <w:color w:val="16324F"/>
                <w:sz w:val="22"/>
              </w:rPr>
              <w:t>Negocio</w:t>
            </w:r>
          </w:p>
          <w:p>
            <w:pPr>
              <w:spacing w:after="30" w:line="245" w:lineRule="auto"/>
            </w:pPr>
            <w:r>
              <w:rPr>
                <w:rFonts w:ascii="Aptos" w:hAnsi="Aptos" w:eastAsia="Aptos"/>
                <w:b/>
                <w:color w:val="1D8A79"/>
                <w:sz w:val="18"/>
              </w:rPr>
              <w:t xml:space="preserve">☐  </w:t>
            </w:r>
            <w:r>
              <w:rPr>
                <w:rFonts w:ascii="Aptos" w:hAnsi="Aptos" w:eastAsia="Aptos"/>
                <w:color w:val="24323E"/>
                <w:sz w:val="18"/>
              </w:rPr>
              <w:t>Precio</w:t>
            </w:r>
          </w:p>
          <w:p>
            <w:pPr>
              <w:spacing w:after="30" w:line="245" w:lineRule="auto"/>
            </w:pPr>
            <w:r>
              <w:rPr>
                <w:rFonts w:ascii="Aptos" w:hAnsi="Aptos" w:eastAsia="Aptos"/>
                <w:b/>
                <w:color w:val="1D8A79"/>
                <w:sz w:val="18"/>
              </w:rPr>
              <w:t xml:space="preserve">☐  </w:t>
            </w:r>
            <w:r>
              <w:rPr>
                <w:rFonts w:ascii="Aptos" w:hAnsi="Aptos" w:eastAsia="Aptos"/>
                <w:color w:val="24323E"/>
                <w:sz w:val="18"/>
              </w:rPr>
              <w:t>Contrato comunidad</w:t>
            </w:r>
          </w:p>
          <w:p>
            <w:pPr>
              <w:spacing w:after="30" w:line="245" w:lineRule="auto"/>
            </w:pPr>
            <w:r>
              <w:rPr>
                <w:rFonts w:ascii="Aptos" w:hAnsi="Aptos" w:eastAsia="Aptos"/>
                <w:b/>
                <w:color w:val="1D8A79"/>
                <w:sz w:val="18"/>
              </w:rPr>
              <w:t xml:space="preserve">☐  </w:t>
            </w:r>
            <w:r>
              <w:rPr>
                <w:rFonts w:ascii="Aptos" w:hAnsi="Aptos" w:eastAsia="Aptos"/>
                <w:color w:val="24323E"/>
                <w:sz w:val="18"/>
              </w:rPr>
              <w:t>Plan despacho</w:t>
            </w:r>
          </w:p>
          <w:p>
            <w:pPr>
              <w:spacing w:after="30" w:line="245" w:lineRule="auto"/>
            </w:pPr>
            <w:r>
              <w:rPr>
                <w:rFonts w:ascii="Aptos" w:hAnsi="Aptos" w:eastAsia="Aptos"/>
                <w:b/>
                <w:color w:val="1D8A79"/>
                <w:sz w:val="18"/>
              </w:rPr>
              <w:t xml:space="preserve">☐  </w:t>
            </w:r>
            <w:r>
              <w:rPr>
                <w:rFonts w:ascii="Aptos" w:hAnsi="Aptos" w:eastAsia="Aptos"/>
                <w:color w:val="24323E"/>
                <w:sz w:val="18"/>
              </w:rPr>
              <w:t>Facturación</w:t>
            </w:r>
          </w:p>
          <w:p>
            <w:pPr>
              <w:spacing w:after="30" w:line="245" w:lineRule="auto"/>
            </w:pPr>
            <w:r>
              <w:rPr>
                <w:rFonts w:ascii="Aptos" w:hAnsi="Aptos" w:eastAsia="Aptos"/>
                <w:b/>
                <w:color w:val="1D8A79"/>
                <w:sz w:val="18"/>
              </w:rPr>
              <w:t xml:space="preserve">☐  </w:t>
            </w:r>
            <w:r>
              <w:rPr>
                <w:rFonts w:ascii="Aptos" w:hAnsi="Aptos" w:eastAsia="Aptos"/>
                <w:color w:val="24323E"/>
                <w:sz w:val="18"/>
              </w:rPr>
              <w:t>Portabilidad</w:t>
            </w:r>
          </w:p>
          <w:p>
            <w:pPr>
              <w:spacing w:after="30" w:line="245" w:lineRule="auto"/>
            </w:pPr>
            <w:r>
              <w:rPr>
                <w:rFonts w:ascii="Aptos" w:hAnsi="Aptos" w:eastAsia="Aptos"/>
                <w:b/>
                <w:color w:val="1D8A79"/>
                <w:sz w:val="18"/>
              </w:rPr>
              <w:t xml:space="preserve">☐  </w:t>
            </w:r>
            <w:r>
              <w:rPr>
                <w:rFonts w:ascii="Aptos" w:hAnsi="Aptos" w:eastAsia="Aptos"/>
                <w:color w:val="24323E"/>
                <w:sz w:val="18"/>
              </w:rPr>
              <w:t>Plan de salida</w:t>
            </w:r>
          </w:p>
          <w:p>
            <w:pPr>
              <w:spacing w:after="30" w:line="245" w:lineRule="auto"/>
            </w:pPr>
            <w:r>
              <w:rPr>
                <w:rFonts w:ascii="Aptos" w:hAnsi="Aptos" w:eastAsia="Aptos"/>
                <w:b/>
                <w:color w:val="1D8A79"/>
                <w:sz w:val="18"/>
              </w:rPr>
              <w:t xml:space="preserve">☐  </w:t>
            </w:r>
            <w:r>
              <w:rPr>
                <w:rFonts w:ascii="Aptos" w:hAnsi="Aptos" w:eastAsia="Aptos"/>
                <w:color w:val="24323E"/>
                <w:sz w:val="18"/>
              </w:rPr>
              <w:t>Métricas y presupuesto</w:t>
            </w:r>
          </w:p>
        </w:tc>
        <w:tc>
          <w:tcPr>
            <w:tcW w:type="dxa" w:w="4680"/>
            <w:tcMar>
              <w:top w:w="140" w:type="dxa"/>
              <w:start w:w="160" w:type="dxa"/>
              <w:bottom w:w="140" w:type="dxa"/>
              <w:end w:w="160" w:type="dxa"/>
            </w:tcMar>
            <w:vAlign w:val="center"/>
            <w:shd w:fill="EAF3F7" w:val="clear"/>
          </w:tcPr>
          <w:p>
            <w:pPr>
              <w:spacing w:before="0" w:after="0" w:line="269" w:lineRule="auto"/>
              <w:jc w:val="center"/>
            </w:pPr>
            <w:r>
              <w:rPr>
                <w:rFonts w:ascii="Aptos" w:hAnsi="Aptos" w:eastAsia="Aptos"/>
                <w:b w:val="0"/>
                <w:i/>
                <w:color w:val="647481"/>
                <w:sz w:val="20"/>
              </w:rPr>
              <w:t>Preparado para revisión final</w:t>
            </w:r>
          </w:p>
        </w:tc>
      </w:tr>
    </w:tbl>
    <w:p>
      <w:pPr>
        <w:keepLines/>
      </w:pPr>
      <w:r>
        <w:br w:type="page"/>
      </w:r>
    </w:p>
    <w:p>
      <w:pPr>
        <w:keepLines/>
        <w:spacing w:before="2200" w:after="200"/>
        <w:jc w:val="center"/>
      </w:pPr>
      <w:r>
        <w:rPr>
          <w:rFonts w:ascii="Aptos Display" w:hAnsi="Aptos Display" w:eastAsia="Aptos Display"/>
          <w:b/>
          <w:color w:val="16324F"/>
          <w:sz w:val="52"/>
        </w:rPr>
        <w:t>La comunidad permanece.</w:t>
      </w:r>
    </w:p>
    <w:p>
      <w:pPr>
        <w:keepLines/>
        <w:spacing w:after="360"/>
        <w:jc w:val="center"/>
      </w:pPr>
      <w:r>
        <w:rPr>
          <w:rFonts w:ascii="Aptos Display" w:hAnsi="Aptos Display" w:eastAsia="Aptos Display"/>
          <w:color w:val="176B87"/>
          <w:sz w:val="28"/>
        </w:rPr>
        <w:t>Los proveedores cambian. Los datos, la memoria y el control continúan.</w:t>
      </w:r>
    </w:p>
    <w:p>
      <w:pPr>
        <w:spacing w:before="120" w:after="320"/>
        <w:keepLines/>
        <w:pBdr>
          <w:bottom w:val="single" w:sz="6" w:space="1" w:color="1D8A79"/>
        </w:pBdr>
      </w:pPr>
    </w:p>
    <w:p>
      <w:pPr>
        <w:keepLines/>
        <w:jc w:val="center"/>
      </w:pPr>
      <w:r>
        <w:rPr>
          <w:rFonts w:ascii="Aptos" w:hAnsi="Aptos" w:eastAsia="Aptos"/>
          <w:b/>
          <w:color w:val="647481"/>
          <w:sz w:val="19"/>
        </w:rPr>
        <w:t>COMUNIDAD CONECTA  ·  DOCUMENTO MAESTRO  ·  V1.0</w:t>
      </w:r>
    </w:p>
    <w:sectPr>
      <w:headerReference w:type="default" r:id="rId9"/>
      <w:footerReference w:type="default" r:id="rId10"/>
      <w:pgSz w:w="12240" w:h="15840"/>
      <w:pgMar w:top="1123" w:right="1267" w:bottom="1037" w:left="1267"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647481"/>
        <w:sz w:val="17"/>
      </w:rPr>
      <w:t xml:space="preserve">Página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2" w:color="D8E1E5"/>
      </w:pBdr>
    </w:pPr>
    <w:r>
      <w:rPr>
        <w:rFonts w:ascii="Aptos" w:hAnsi="Aptos" w:eastAsia="Aptos"/>
        <w:b/>
        <w:color w:val="1D8A79"/>
        <w:sz w:val="16"/>
      </w:rPr>
      <w:t>COMUNIDAD CONECTA</w:t>
    </w:r>
    <w:r>
      <w:rPr>
        <w:rFonts w:ascii="Aptos" w:hAnsi="Aptos" w:eastAsia="Aptos"/>
        <w:color w:val="647481"/>
        <w:sz w:val="16"/>
      </w:rPr>
      <w:t xml:space="preserve">  ·  Documento maestro de producto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540"/>
        </w:tabs>
        <w:ind w:left="540" w:hanging="270"/>
        <w:spacing w:after="60" w:line="280" w:lineRule="auto"/>
      </w:pPr>
      <w:rPr>
        <w:rFonts w:ascii="Aptos" w:hAnsi="Aptos"/>
        <w:color w:val="1D8A79"/>
      </w:rPr>
    </w:lvl>
    <w:lvl w:ilvl="1">
      <w:start w:val="1"/>
      <w:numFmt w:val="bullet"/>
      <w:lvlText w:val="○"/>
      <w:lvlJc w:val="left"/>
      <w:pPr>
        <w:tabs>
          <w:tab w:val="num" w:pos="960"/>
        </w:tabs>
        <w:ind w:left="960" w:hanging="270"/>
        <w:spacing w:after="60" w:line="280" w:lineRule="auto"/>
      </w:pPr>
      <w:rPr>
        <w:rFonts w:ascii="Aptos" w:hAnsi="Aptos"/>
        <w:color w:val="1D8A79"/>
      </w:rPr>
    </w:lvl>
    <w:lvl w:ilvl="2">
      <w:start w:val="1"/>
      <w:numFmt w:val="bullet"/>
      <w:lvlText w:val="▪"/>
      <w:lvlJc w:val="left"/>
      <w:pPr>
        <w:tabs>
          <w:tab w:val="num" w:pos="1380"/>
        </w:tabs>
        <w:ind w:left="1380" w:hanging="270"/>
        <w:spacing w:after="60" w:line="280" w:lineRule="auto"/>
      </w:pPr>
      <w:rPr>
        <w:rFonts w:ascii="Aptos" w:hAnsi="Aptos"/>
        <w:color w:val="1D8A79"/>
      </w:rPr>
    </w:lvl>
  </w:abstractNum>
  <w:num w:numId="10">
    <w:abstractNumId w:val="9"/>
  </w:num>
  <w:abstractNum w:abstractNumId="10">
    <w:multiLevelType w:val="multilevel"/>
    <w:lvl w:ilvl="0">
      <w:start w:val="1"/>
      <w:numFmt w:val="decimal"/>
      <w:lvlText w:val="%1."/>
      <w:lvlJc w:val="left"/>
      <w:pPr>
        <w:ind w:left="560" w:hanging="280"/>
        <w:spacing w:after="60" w:line="280" w:lineRule="auto"/>
      </w:pPr>
    </w:lvl>
    <w:lvl w:ilvl="1">
      <w:start w:val="1"/>
      <w:numFmt w:val="decimal"/>
      <w:lvlText w:val="%2."/>
      <w:lvlJc w:val="left"/>
      <w:pPr>
        <w:ind w:left="980" w:hanging="280"/>
        <w:spacing w:after="60" w:line="280" w:lineRule="auto"/>
      </w:pPr>
    </w:lvl>
    <w:lvl w:ilvl="2">
      <w:start w:val="1"/>
      <w:numFmt w:val="decimal"/>
      <w:lvlText w:val="%3."/>
      <w:lvlJc w:val="left"/>
      <w:pPr>
        <w:ind w:left="1400" w:hanging="280"/>
        <w:spacing w:after="60" w:line="280" w:lineRule="auto"/>
      </w:pPr>
    </w:lvl>
  </w:abstractNum>
  <w:num w:numId="11">
    <w:abstractNumId w:val="10"/>
  </w:num>
  <w:num w:numId="12">
    <w:abstractNumId w:val="10"/>
    <w:lvlOverride w:ilvl="0">
      <w:startOverride w:val="1"/>
    </w:lvlOverride>
  </w:num>
  <w:num w:numId="1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1" w:lineRule="auto"/>
    </w:pPr>
    <w:rPr>
      <w:rFonts w:ascii="Aptos" w:hAnsi="Aptos"/>
      <w:color w:val="2432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oe.es/buscar/act.php?id=BOE-A-1960-10906" TargetMode="External"/><Relationship Id="rId12" Type="http://schemas.openxmlformats.org/officeDocument/2006/relationships/hyperlink" Target="https://www.boe.es/biblioteca_juridica/codigos/codigo.php?id=416" TargetMode="External"/><Relationship Id="rId13" Type="http://schemas.openxmlformats.org/officeDocument/2006/relationships/hyperlink" Target="https://eur-lex.europa.eu/legal-content/ES/TXT/HTML/?uri=CELEX:32016R0679" TargetMode="External"/><Relationship Id="rId14" Type="http://schemas.openxmlformats.org/officeDocument/2006/relationships/hyperlink" Target="https://www.boe.es/buscar/act.php?id=BOE-A-2018-16673" TargetMode="External"/><Relationship Id="rId15" Type="http://schemas.openxmlformats.org/officeDocument/2006/relationships/hyperlink" Target="https://www.aepd.es/preguntas-frecuentes/9-comunidades-de-propietarios" TargetMode="External"/><Relationship Id="rId16" Type="http://schemas.openxmlformats.org/officeDocument/2006/relationships/hyperlink" Target="https://www.aepd.es/guias/guia-administradores-fincas.pdf" TargetMode="External"/><Relationship Id="rId17" Type="http://schemas.openxmlformats.org/officeDocument/2006/relationships/hyperlink" Target="https://www.aepd.es/preguntas-frecuentes/9-comunidades-de-propietarios/FAQ-0906-puede-tener-acceso-un-propietario-a-los-gastos-de-su-comunidad" TargetMode="External"/><Relationship Id="rId18" Type="http://schemas.openxmlformats.org/officeDocument/2006/relationships/hyperlink" Target="https://www.aepd.es/preguntas-frecuentes/9-comunidades-de-propietarios/FAQ-0909-se-puede-exponer-cumpliendo-ciertos-requisitos-en-el-tablon-la-relacion-de-los-vecinos-morosos" TargetMode="External"/><Relationship Id="rId19" Type="http://schemas.openxmlformats.org/officeDocument/2006/relationships/hyperlink" Target="https://www.aepd.es/preguntas-frecuentes/9-comunidades-de-propietarios/FAQ-0910-en-nuestra-comunidad-de-vecinos-hay-camaras-de-videovigilancia-son-legales" TargetMode="External"/><Relationship Id="rId20" Type="http://schemas.openxmlformats.org/officeDocument/2006/relationships/hyperlink" Target="https://www.aepd.es/derechos-y-deberes/cumple-tus-deberes/medidas-de-cumplimiento/brechas-de-datos-personales-notificacion" TargetMode="External"/><Relationship Id="rId21" Type="http://schemas.openxmlformats.org/officeDocument/2006/relationships/hyperlink" Target="https://eur-lex.europa.eu/legal-content/ES/TXT/HTML/?uri=CELEX:32014R0910" TargetMode="External"/><Relationship Id="rId22" Type="http://schemas.openxmlformats.org/officeDocument/2006/relationships/hyperlink" Target="https://www.boe.es/buscar/act.php?id=BOE-A-2020-14046" TargetMode="External"/><Relationship Id="rId23"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Comunidad Conecta — Documento maestro de producto</dc:title>
  <dc:subject>Plataforma independiente para la gestión integral de comunidades de propietarios</dc:subject>
  <dc:creator/>
  <cp:keywords>comunidad propietarios; administrador fincas; RGPD; LPH; SaaS; producto</cp:keywords>
  <dc:description>Documento de trabajo. Requiere revisión jurídica antes de producción.</dc:description>
  <cp:lastModifiedBy/>
  <cp:revision>1</cp:revision>
  <dcterms:created xsi:type="dcterms:W3CDTF">2026-08-12T00:00:00Z</dcterms:created>
  <dcterms:modified xsi:type="dcterms:W3CDTF">2013-12-23T23:15:00Z</dcterms:modified>
  <cp:category>Especificación de producto</cp:category>
</cp:coreProperties>
</file>