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Журнал запуска AI-экосистемы Sadykhan Group</w:t>
      </w:r>
    </w:p>
    <w:p>
      <w:pPr/>
      <w:r>
        <w:t xml:space="preserve">Обновлено </w:t>
      </w:r>
      <w:r>
        <w:t xml:space="preserve">Oct 17, 2026</w:t>
      </w:r>
      <w:r>
        <w:t xml:space="preserve"> · </w:t>
      </w:r>
      <w:r>
        <w:t xml:space="preserve">@Akbala</w:t>
      </w:r>
    </w:p>
    <w:p>
      <w:pPr>
        <w:pStyle w:val="Heading2"/>
      </w:pPr>
      <w:r>
        <w:t xml:space="preserve">Что я создаю</w:t>
      </w:r>
    </w:p>
    <w:p>
      <w:pPr/>
      <w:r>
        <w:t xml:space="preserve">Я создаю AI-систему внутреннего контроля и аудита Sadykhan Group. ИИ-аудиторы проверяют процессы розницы, опта, e-commerce, финансов, бухгалтерии, закупок, склада, качества, HR и IT.</w:t>
      </w:r>
    </w:p>
    <w:p>
      <w:pPr/>
      <w:r>
        <w:t xml:space="preserve">Они находят нарушения, собирают доказательства, ставят задачи ответственным в Bitrix24 и контролируют исполнение. Окончательные решения принимают люди.</w:t>
      </w:r>
    </w:p>
    <w:p>
      <w:pPr/>
      <w:r>
        <w:t xml:space="preserve">Сейчас система работает в демо-режиме. Моя цель — перевести её в пилот на реальных данных компании.</w:t>
      </w:r>
    </w:p>
    <w:p>
      <w:pPr>
        <w:pStyle w:val="Heading2"/>
      </w:pPr>
      <w:r>
        <w:t xml:space="preserve">Что уже готово</w:t>
      </w:r>
    </w:p>
    <w:p>
      <w:pPr>
        <w:pStyle w:val="ListParagraph"/>
        <w:numPr>
          <w:ilvl w:val="0"/>
          <w:numId w:val="2"/>
        </w:numPr>
      </w:pPr>
      <w:r>
        <w:t xml:space="preserve">Портал системы: центр контроля, кейсы, согласования, журнал действий, реестр ИИ-аудиторов.</w:t>
      </w:r>
    </w:p>
    <w:p>
      <w:pPr>
        <w:pStyle w:val="ListParagraph"/>
        <w:numPr>
          <w:ilvl w:val="0"/>
          <w:numId w:val="2"/>
        </w:numPr>
      </w:pPr>
      <w:r>
        <w:t xml:space="preserve">Архитектура системы, паспорта компетенций ИИ-аудиторов, трёхуровневая проверка выводов.</w:t>
      </w:r>
    </w:p>
    <w:p>
      <w:pPr>
        <w:pStyle w:val="ListParagraph"/>
        <w:numPr>
          <w:ilvl w:val="0"/>
          <w:numId w:val="2"/>
        </w:numPr>
      </w:pPr>
      <w:r>
        <w:t xml:space="preserve">Карта IT-систем компании (шаг 1).</w:t>
      </w:r>
    </w:p>
    <w:p>
      <w:pPr>
        <w:pStyle w:val="Heading2"/>
      </w:pPr>
      <w:r>
        <w:t xml:space="preserve">Ход запуска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872"/>
        <w:gridCol w:w="3062"/>
        <w:gridCol w:w="1872"/>
        <w:gridCol w:w="183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Что я делаю</w:t>
            </w:r>
          </w:p>
        </w:tc>
        <w:tc>
          <w:tcPr>
            <w:tcW w:w="3062" w:type="dxa"/>
            <w:shd w:val="clear" w:color="auto" w:fill="F2F2F2"/>
          </w:tcPr>
          <w:p>
            <w:pPr/>
            <w:r>
              <w:t xml:space="preserve">Что мне нужно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От кого</w:t>
            </w:r>
          </w:p>
        </w:tc>
        <w:tc>
          <w:tcPr>
            <w:tcW w:w="1834" w:type="dxa"/>
            <w:shd w:val="clear" w:color="auto" w:fill="F2F2F2"/>
          </w:tcPr>
          <w:p>
            <w:pPr/>
            <w:r>
              <w:t xml:space="preserve">Статус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Составляю карту IT-систем компании</w:t>
            </w:r>
          </w:p>
        </w:tc>
        <w:tc>
          <w:tcPr>
            <w:tcW w:w="3062" w:type="dxa"/>
          </w:tcPr>
          <w:p>
            <w:pPr/>
            <w:r>
              <w:t xml:space="preserve">Описание систем</w:t>
            </w:r>
          </w:p>
        </w:tc>
        <w:tc>
          <w:tcPr>
            <w:tcW w:w="1872" w:type="dxa"/>
          </w:tcPr>
          <w:p>
            <w:pPr/>
            <w:r>
              <w:t xml:space="preserve">IT</w:t>
            </w:r>
          </w:p>
        </w:tc>
        <w:tc>
          <w:tcPr>
            <w:tcW w:w="1834" w:type="dxa"/>
          </w:tcPr>
          <w:p>
            <w:pPr/>
            <w:r>
              <w:t xml:space="preserve">Готово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Размещаю систему на сервере компании</w:t>
            </w:r>
          </w:p>
        </w:tc>
        <w:tc>
          <w:tcPr>
            <w:tcW w:w="3062" w:type="dxa"/>
          </w:tcPr>
          <w:p>
            <w:pPr/>
            <w:r>
              <w:t xml:space="preserve">Решение: свой сервер или облако Яндекса (данные — в Казахстане); сервер Linux (4 ядра, 8–16 ГБ памяти, 100 ГБ диска); база данных PostgreSQL; ежедневные резервные копии; адрес audit.sadykhan.kz; технический ответственный</w:t>
            </w:r>
          </w:p>
        </w:tc>
        <w:tc>
          <w:tcPr>
            <w:tcW w:w="1872" w:type="dxa"/>
          </w:tcPr>
          <w:p>
            <w:pPr/>
            <w:r>
              <w:t xml:space="preserve">IT</w:t>
            </w:r>
          </w:p>
        </w:tc>
        <w:tc>
          <w:tcPr>
            <w:tcW w:w="1834" w:type="dxa"/>
          </w:tcPr>
          <w:p>
            <w:pPr/>
            <w:r>
              <w:t xml:space="preserve">Запрошено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Подключаю Bitrix24</w:t>
            </w:r>
          </w:p>
        </w:tc>
        <w:tc>
          <w:tcPr>
            <w:tcW w:w="3062" w:type="dxa"/>
          </w:tcPr>
          <w:p>
            <w:pPr/>
            <w:r>
              <w:t xml:space="preserve">Служебный пользователь «AI Audit Sadykhan Group»; группа «AI Audit — пилот»; вебхук с правами только на задачи, сотрудников и структуру компании. Ключ IT вносит сразу на сервер</w:t>
            </w:r>
          </w:p>
        </w:tc>
        <w:tc>
          <w:tcPr>
            <w:tcW w:w="1872" w:type="dxa"/>
          </w:tcPr>
          <w:p>
            <w:pPr/>
            <w:r>
              <w:t xml:space="preserve">Администратор Bitrix24</w:t>
            </w:r>
          </w:p>
        </w:tc>
        <w:tc>
          <w:tcPr>
            <w:tcW w:w="1834" w:type="dxa"/>
          </w:tcPr>
          <w:p>
            <w:pPr/>
            <w:r>
              <w:t xml:space="preserve">Ожидает предыдущего шага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Параллельно готовлю систему к установке: сохранение кейсов и согласований, вход по учётным записям, логика аудиторов</w:t>
            </w:r>
          </w:p>
        </w:tc>
        <w:tc>
          <w:tcPr>
            <w:tcW w:w="306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Разработка</w:t>
            </w:r>
          </w:p>
        </w:tc>
        <w:tc>
          <w:tcPr>
            <w:tcW w:w="1834" w:type="dxa"/>
          </w:tcPr>
          <w:p>
            <w:pPr/>
            <w:r>
              <w:t xml:space="preserve">В работе</w:t>
            </w:r>
          </w:p>
        </w:tc>
      </w:tr>
    </w:tbl>
    <w:p>
      <w:pPr>
        <w:pStyle w:val="Heading2"/>
      </w:pPr>
      <w:r>
        <w:t xml:space="preserve">Следующие шаги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3"/>
        <w:gridCol w:w="5077"/>
        <w:gridCol w:w="3539"/>
      </w:tblGrid>
      <w:tr>
        <w:trPr>
          <w:tblHeader/>
        </w:trPr>
        <w:tc>
          <w:tcPr>
            <w:tcW w:w="743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5077" w:type="dxa"/>
            <w:shd w:val="clear" w:color="auto" w:fill="F2F2F2"/>
          </w:tcPr>
          <w:p>
            <w:pPr/>
            <w:r>
              <w:t xml:space="preserve">Что мне понадобится</w:t>
            </w:r>
          </w:p>
        </w:tc>
        <w:tc>
          <w:tcPr>
            <w:tcW w:w="3539" w:type="dxa"/>
            <w:shd w:val="clear" w:color="auto" w:fill="F2F2F2"/>
          </w:tcPr>
          <w:p>
            <w:pPr/>
            <w:r>
              <w:t xml:space="preserve">От кого</w:t>
            </w:r>
          </w:p>
        </w:tc>
      </w:tr>
      <w:tr>
        <w:tc>
          <w:tcPr>
            <w:tcW w:w="743" w:type="dxa"/>
          </w:tcPr>
          <w:p>
            <w:pPr/>
            <w:r>
              <w:t xml:space="preserve">4</w:t>
            </w:r>
          </w:p>
        </w:tc>
        <w:tc>
          <w:tcPr>
            <w:tcW w:w="5077" w:type="dxa"/>
          </w:tcPr>
          <w:p>
            <w:pPr/>
            <w:r>
              <w:t xml:space="preserve">Справочники: аптеки, склады, подразделения, ответственные; матрица ответственности</w:t>
            </w:r>
          </w:p>
        </w:tc>
        <w:tc>
          <w:tcPr>
            <w:tcW w:w="3539" w:type="dxa"/>
          </w:tcPr>
          <w:p>
            <w:pPr/>
            <w:r>
              <w:t xml:space="preserve">HR, директора направлений</w:t>
            </w:r>
          </w:p>
        </w:tc>
      </w:tr>
      <w:tr>
        <w:tc>
          <w:tcPr>
            <w:tcW w:w="743" w:type="dxa"/>
          </w:tcPr>
          <w:p>
            <w:pPr/>
            <w:r>
              <w:t xml:space="preserve">5</w:t>
            </w:r>
          </w:p>
        </w:tc>
        <w:tc>
          <w:tcPr>
            <w:tcW w:w="5077" w:type="dxa"/>
          </w:tcPr>
          <w:p>
            <w:pPr/>
            <w:r>
              <w:t xml:space="preserve">Доступ к 1С только на чтение (Розница, УТ, Бухгалтерия, ЗУП)</w:t>
            </w:r>
          </w:p>
        </w:tc>
        <w:tc>
          <w:tcPr>
            <w:tcW w:w="3539" w:type="dxa"/>
          </w:tcPr>
          <w:p>
            <w:pPr/>
            <w:r>
              <w:t xml:space="preserve">Программист 1С</w:t>
            </w:r>
          </w:p>
        </w:tc>
      </w:tr>
      <w:tr>
        <w:tc>
          <w:tcPr>
            <w:tcW w:w="743" w:type="dxa"/>
          </w:tcPr>
          <w:p>
            <w:pPr/>
            <w:r>
              <w:t xml:space="preserve">6</w:t>
            </w:r>
          </w:p>
        </w:tc>
        <w:tc>
          <w:tcPr>
            <w:tcW w:w="5077" w:type="dxa"/>
          </w:tcPr>
          <w:p>
            <w:pPr/>
            <w:r>
              <w:t xml:space="preserve">Доступ к данным ОФД</w:t>
            </w:r>
          </w:p>
        </w:tc>
        <w:tc>
          <w:tcPr>
            <w:tcW w:w="3539" w:type="dxa"/>
          </w:tcPr>
          <w:p>
            <w:pPr/>
            <w:r>
              <w:t xml:space="preserve">Главный бухгалтер</w:t>
            </w:r>
          </w:p>
        </w:tc>
      </w:tr>
      <w:tr>
        <w:tc>
          <w:tcPr>
            <w:tcW w:w="743" w:type="dxa"/>
          </w:tcPr>
          <w:p>
            <w:pPr/>
            <w:r>
              <w:t xml:space="preserve">7</w:t>
            </w:r>
          </w:p>
        </w:tc>
        <w:tc>
          <w:tcPr>
            <w:tcW w:w="5077" w:type="dxa"/>
          </w:tcPr>
          <w:p>
            <w:pPr/>
            <w:r>
              <w:t xml:space="preserve">Доступ к данным Kaspi, Glovo, Яндекс, Aurma</w:t>
            </w:r>
          </w:p>
        </w:tc>
        <w:tc>
          <w:tcPr>
            <w:tcW w:w="3539" w:type="dxa"/>
          </w:tcPr>
          <w:p>
            <w:pPr/>
            <w:r>
              <w:t xml:space="preserve">Руководитель e-commerce</w:t>
            </w:r>
          </w:p>
        </w:tc>
      </w:tr>
      <w:tr>
        <w:tc>
          <w:tcPr>
            <w:tcW w:w="743" w:type="dxa"/>
          </w:tcPr>
          <w:p>
            <w:pPr/>
            <w:r>
              <w:t xml:space="preserve">8</w:t>
            </w:r>
          </w:p>
        </w:tc>
        <w:tc>
          <w:tcPr>
            <w:tcW w:w="5077" w:type="dxa"/>
          </w:tcPr>
          <w:p>
            <w:pPr/>
            <w:r>
              <w:t xml:space="preserve">Внутренние регламенты и утверждённые контрольные пороги</w:t>
            </w:r>
          </w:p>
        </w:tc>
        <w:tc>
          <w:tcPr>
            <w:tcW w:w="3539" w:type="dxa"/>
          </w:tcPr>
          <w:p>
            <w:pPr/>
            <w:r>
              <w:t xml:space="preserve">Владельцы процессов</w:t>
            </w:r>
          </w:p>
        </w:tc>
      </w:tr>
      <w:tr>
        <w:tc>
          <w:tcPr>
            <w:tcW w:w="743" w:type="dxa"/>
          </w:tcPr>
          <w:p>
            <w:pPr/>
            <w:r>
              <w:t xml:space="preserve">9</w:t>
            </w:r>
          </w:p>
        </w:tc>
        <w:tc>
          <w:tcPr>
            <w:tcW w:w="5077" w:type="dxa"/>
          </w:tcPr>
          <w:p>
            <w:pPr/>
            <w:r>
              <w:t xml:space="preserve">Заключение юриста по персональным данным</w:t>
            </w:r>
          </w:p>
        </w:tc>
        <w:tc>
          <w:tcPr>
            <w:tcW w:w="3539" w:type="dxa"/>
          </w:tcPr>
          <w:p>
            <w:pPr/>
            <w:r>
              <w:t xml:space="preserve">Юрист</w:t>
            </w:r>
          </w:p>
        </w:tc>
      </w:tr>
    </w:tbl>
    <w:p>
      <w:pPr>
        <w:pStyle w:val="Heading2"/>
      </w:pPr>
      <w:r>
        <w:t xml:space="preserve">Что мне нужно уточнить позже</w:t>
      </w:r>
    </w:p>
    <w:p>
      <w:pPr>
        <w:pStyle w:val="ListParagraph"/>
        <w:numPr>
          <w:ilvl w:val="0"/>
          <w:numId w:val="3"/>
        </w:numPr>
      </w:pPr>
      <w:r>
        <w:t xml:space="preserve">Какая кассовая программа стоит в аптеках.</w:t>
      </w:r>
    </w:p>
    <w:p>
      <w:pPr>
        <w:pStyle w:val="ListParagraph"/>
        <w:numPr>
          <w:ilvl w:val="0"/>
          <w:numId w:val="3"/>
        </w:numPr>
      </w:pPr>
      <w:r>
        <w:t xml:space="preserve">Как заказы Kaspi, Glovo, Яндекс и Aurma попадают в 1С.</w:t>
      </w:r>
    </w:p>
    <w:p>
      <w:pPr>
        <w:pStyle w:val="ListParagraph"/>
        <w:numPr>
          <w:ilvl w:val="0"/>
          <w:numId w:val="3"/>
        </w:numPr>
      </w:pPr>
      <w:r>
        <w:t xml:space="preserve">Какая ERP внедряется и в какие сроки — от этого зависит, как подключать 1С.</w:t>
      </w:r>
    </w:p>
    <w:p>
      <w:pPr>
        <w:pStyle w:val="ListParagraph"/>
        <w:numPr>
          <w:ilvl w:val="0"/>
          <w:numId w:val="3"/>
        </w:numPr>
      </w:pPr>
      <w:r>
        <w:t xml:space="preserve">Адрес нашего Bitrix24 и кто его администратор.</w:t>
      </w:r>
    </w:p>
    <w:p>
      <w:pPr>
        <w:pStyle w:val="Heading2"/>
      </w:pPr>
      <w:r>
        <w:t xml:space="preserve">Правило безопасности</w:t>
      </w:r>
    </w:p>
    <w:p>
      <w:pPr/>
      <w:r>
        <w:t xml:space="preserve">Пароли, ключи и ссылки доступа я не пересылаю в переписке. IT вносит их сам напрямую на сервер.</w:t>
      </w:r>
    </w:p>
    <w:p>
      <w:pPr>
        <w:pStyle w:val="Heading2"/>
      </w:pPr>
      <w:r>
        <w:t xml:space="preserve">Ответы IT по шагу 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5"/>
        <w:gridCol w:w="6484"/>
      </w:tblGrid>
      <w:tr>
        <w:trPr>
          <w:tblHeader/>
        </w:trPr>
        <w:tc>
          <w:tcPr>
            <w:tcW w:w="2875" w:type="dxa"/>
            <w:shd w:val="clear" w:color="auto" w:fill="F2F2F2"/>
          </w:tcPr>
          <w:p>
            <w:pPr/>
            <w:r>
              <w:t xml:space="preserve">Тема</w:t>
            </w:r>
          </w:p>
        </w:tc>
        <w:tc>
          <w:tcPr>
            <w:tcW w:w="6484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1С</w:t>
            </w:r>
          </w:p>
        </w:tc>
        <w:tc>
          <w:tcPr>
            <w:tcW w:w="6484" w:type="dxa"/>
          </w:tcPr>
          <w:p>
            <w:pPr/>
            <w:r>
              <w:t xml:space="preserve">Розница, Управление торговлей, Бухгалтерия, ЗУП — отдельные базы; идёт проект единой ERP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Где работает 1С</w:t>
            </w:r>
          </w:p>
        </w:tc>
        <w:tc>
          <w:tcPr>
            <w:tcW w:w="6484" w:type="dxa"/>
          </w:tcPr>
          <w:p>
            <w:pPr/>
            <w:r>
              <w:t xml:space="preserve">Собственные локальные серверы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Поддержка 1С</w:t>
            </w:r>
          </w:p>
        </w:tc>
        <w:tc>
          <w:tcPr>
            <w:tcW w:w="6484" w:type="dxa"/>
          </w:tcPr>
          <w:p>
            <w:pPr/>
            <w:r>
              <w:t xml:space="preserve">Штатный программист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Bitrix24</w:t>
            </w:r>
          </w:p>
        </w:tc>
        <w:tc>
          <w:tcPr>
            <w:tcW w:w="6484" w:type="dxa"/>
          </w:tcPr>
          <w:p>
            <w:pPr/>
            <w:r>
              <w:t xml:space="preserve">Облачная версия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Кассы</w:t>
            </w:r>
          </w:p>
        </w:tc>
        <w:tc>
          <w:tcPr>
            <w:tcW w:w="6484" w:type="dxa"/>
          </w:tcPr>
          <w:p>
            <w:pPr/>
            <w:r>
              <w:t xml:space="preserve">Через ОФД; кассовая программа уточняется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Продажи в 1С</w:t>
            </w:r>
          </w:p>
        </w:tc>
        <w:tc>
          <w:tcPr>
            <w:tcW w:w="6484" w:type="dxa"/>
          </w:tcPr>
          <w:p>
            <w:pPr/>
            <w:r>
              <w:t xml:space="preserve">Сразу после операции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Онлайн-каналы</w:t>
            </w:r>
          </w:p>
        </w:tc>
        <w:tc>
          <w:tcPr>
            <w:tcW w:w="6484" w:type="dxa"/>
          </w:tcPr>
          <w:p>
            <w:pPr/>
            <w:r>
              <w:t xml:space="preserve">Kaspi, Glovo, Яндекс, Aurma</w:t>
            </w:r>
          </w:p>
        </w:tc>
      </w:tr>
      <w:tr>
        <w:tc>
          <w:tcPr>
            <w:tcW w:w="2875" w:type="dxa"/>
          </w:tcPr>
          <w:p>
            <w:pPr/>
            <w:r>
              <w:t xml:space="preserve">Инфраструктура</w:t>
            </w:r>
          </w:p>
        </w:tc>
        <w:tc>
          <w:tcPr>
            <w:tcW w:w="6484" w:type="dxa"/>
          </w:tcPr>
          <w:p>
            <w:pPr/>
            <w:r>
              <w:t xml:space="preserve">Свои серверы и облако Яндекса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Журнал запуска AI-экосистемы Sadykhan Group</dc:title>
  <dc:description>Claude Docs node/278e1279-7924@7 docx-w7</dc:description>
  <cp:revision>7</cp:revision>
</cp:coreProperties>
</file>