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charts/chart2.xml" ContentType="application/vnd.openxmlformats-officedocument.drawingml.chart+xml"/>
  <Override PartName="/word/charts/chart1.xml" ContentType="application/vnd.openxmlformats-officedocument.drawingml.chart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emf" ContentType="image/x-emf"/>
  <Override PartName="/word/media/image16.emf" ContentType="image/x-emf"/>
  <Override PartName="/word/media/image15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embeddings/oleObject2.xlsx" ContentType="application/vnd.openxmlformats-officedocument.spreadsheetml.sheet"/>
  <Override PartName="/word/embeddings/oleObject1.xlsx" ContentType="application/vnd.openxmlformats-officedocument.spreadsheetml.sheet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0"/>
        </w:numPr>
        <w:spacing w:before="240" w:after="120"/>
        <w:outlineLvl w:val="0"/>
        <w:rPr/>
      </w:pPr>
      <w:bookmarkStart w:id="0" w:name="docs-internal-guid-d4cfc6da-7fff-5176-23"/>
      <w:bookmarkEnd w:id="0"/>
      <w:r>
        <w:rPr/>
        <w:t>Nimble HF40 performancia teszt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Cél: </w:t>
      </w:r>
    </w:p>
    <w:p>
      <w:pPr>
        <w:pStyle w:val="TextBody"/>
        <w:rPr/>
      </w:pPr>
      <w:r>
        <w:rPr/>
        <w:t>Írás/olvasás teljesítmény mérése HPE Nimble HF40 Storage-on Sqlio programmal.</w:t>
      </w:r>
    </w:p>
    <w:p>
      <w:pPr>
        <w:pStyle w:val="Heading2"/>
        <w:numPr>
          <w:ilvl w:val="1"/>
          <w:numId w:val="1"/>
        </w:numPr>
        <w:rPr/>
      </w:pPr>
      <w:r>
        <w:rPr/>
        <w:t>Előkészítés:</w:t>
      </w:r>
    </w:p>
    <w:p>
      <w:pPr>
        <w:pStyle w:val="Heading3"/>
        <w:numPr>
          <w:ilvl w:val="2"/>
          <w:numId w:val="1"/>
        </w:numPr>
        <w:rPr/>
      </w:pPr>
      <w:r>
        <w:rPr/>
        <w:t xml:space="preserve">1. Fiber channel kapcsolat létrehozása </w:t>
      </w:r>
    </w:p>
    <w:p>
      <w:pPr>
        <w:pStyle w:val="TextBody"/>
        <w:rPr/>
      </w:pPr>
      <w:r>
        <w:rPr/>
        <w:t>A FC kapcsolatot korábban létrehoztuk a</w:t>
      </w:r>
      <w:r>
        <w:rPr/>
        <w:t xml:space="preserve"> Hyper-V-n futó Windows 2019 Szerver és a Nimble storage között </w:t>
      </w:r>
      <w:r>
        <w:rPr/>
        <w:t>Brocade switcheken keresztül</w:t>
      </w:r>
      <w:r>
        <w:rPr/>
        <w:t>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rPr/>
      </w:pPr>
      <w:r>
        <w:rPr/>
        <w:t>2. A tárolón Initiator Group létrehozása a Windows szerver számára</w:t>
      </w:r>
    </w:p>
    <w:p>
      <w:pPr>
        <w:pStyle w:val="TextBody"/>
        <w:rPr/>
      </w:pPr>
      <w:r>
        <w:rPr/>
        <w:t>Ezt és a későbbi lépéseket a Nimble böngészőból elérhető adminisztrációs felületén végezhetjük el.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r>
        <w:rPr/>
        <w:t>3. A tárolón egy volume létrehozása a Windows szerver számára.</w:t>
      </w:r>
    </w:p>
    <w:p>
      <w:pPr>
        <w:pStyle w:val="TextBody"/>
        <w:rPr/>
      </w:pPr>
      <w:r>
        <w:rPr/>
        <w:t>A volume tulajdonságait az igények szerint testre szabhatjuk, itt a default beállításokkal megyünk tovább.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Név, leírás, policy beállítása, illetve a Volume-nak a korábban definiált “ws13 ”Initiator Group-hoz rendelése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Méret, provisioning, deduplikáció, telítettség figyelmeztetés beállítása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Védelem beállítása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Caching és IOPs limitek beállítása</w:t>
      </w:r>
    </w:p>
    <w:p>
      <w:pPr>
        <w:pStyle w:val="TextBody"/>
        <w:bidi w:val="0"/>
        <w:spacing w:lineRule="auto" w:line="331" w:before="0" w:after="0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 xml:space="preserve">A folyamat végén láthatjuk, hogy a volume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 xml:space="preserve">létrejött és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használatra kész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Heading3"/>
        <w:numPr>
          <w:ilvl w:val="2"/>
          <w:numId w:val="1"/>
        </w:numPr>
        <w:rPr/>
      </w:pPr>
      <w:r>
        <w:rPr/>
        <w:t>4. A fájlrendszer felcsatolása a Windows-ban.</w:t>
      </w:r>
    </w:p>
    <w:p>
      <w:pPr>
        <w:pStyle w:val="TextBody"/>
        <w:bidi w:val="0"/>
        <w:spacing w:lineRule="auto" w:line="331" w:before="0" w:after="0"/>
        <w:rPr/>
      </w:pPr>
      <w:r>
        <w:rPr/>
        <w:t xml:space="preserve">Mivel korábban beállítottuk az iSCI Initiator-t a Nimble Storage-hoz, így a Disk Management-ben </w:t>
      </w:r>
      <w:r>
        <w:rPr/>
        <w:t>ayonnal</w:t>
      </w:r>
      <w:r>
        <w:rPr/>
        <w:t xml:space="preserve"> megjelenik a létr</w:t>
      </w:r>
      <w:r>
        <w:rPr/>
        <w:t>e</w:t>
      </w:r>
      <w:r>
        <w:rPr/>
        <w:t xml:space="preserve">hozott 20 GB-os volume. Ráadásul kétszer, mert két úton (két Brocade switch-en át) találja meg a tárolót. </w:t>
      </w:r>
      <w:r>
        <w:rPr/>
        <w:t>A Multipath I/O valószínűleg nincs jól beállítva.</w:t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  <w:t>A disk-et inicializáljuk és megformázzuk a használathoz.</w:t>
      </w:r>
    </w:p>
    <w:p>
      <w:pPr>
        <w:pStyle w:val="TextBody"/>
        <w:bidi w:val="0"/>
        <w:spacing w:lineRule="auto" w:line="331" w:before="0" w:after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TextBody"/>
        <w:bidi w:val="0"/>
        <w:spacing w:lineRule="auto" w:line="331" w:before="0" w:after="0"/>
        <w:rPr/>
      </w:pPr>
      <w:r>
        <w:rPr/>
        <w:t>Leteszteljük egy fájl beírásával.</w:t>
      </w:r>
    </w:p>
    <w:p>
      <w:pPr>
        <w:pStyle w:val="TextBody"/>
        <w:bidi w:val="0"/>
        <w:spacing w:lineRule="auto" w:line="331" w:before="0" w:after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r>
        <w:rPr/>
        <w:t>5. Felmásoljuk a teszthez szükséges fájlokat</w:t>
      </w:r>
    </w:p>
    <w:p>
      <w:pPr>
        <w:pStyle w:val="TextBody"/>
        <w:rPr/>
      </w:pPr>
      <w:r>
        <w:rPr/>
        <w:t>A teszthez az sqlio.exe fájl szükséges, illetve minden egyes méréshez készítettünk egy .bat futtatható állományt a következő minta alapján:</w:t>
      </w:r>
    </w:p>
    <w:p>
      <w:pPr>
        <w:pStyle w:val="Normal"/>
        <w:widowControl w:val="false"/>
        <w:spacing w:lineRule="atLeast" w:line="259" w:before="0" w:after="0"/>
        <w:rPr>
          <w:rFonts w:ascii="Consolas" w:hAnsi="Consolas" w:cs="Consolas"/>
        </w:rPr>
      </w:pPr>
      <w:r>
        <w:rPr>
          <w:rFonts w:cs="Consolas" w:ascii="Consolas" w:hAnsi="Consolas"/>
        </w:rPr>
        <w:t>start cmd /k sqlio -kR -t30 -s30 -f64 -b8 -i1024 -BN testfileR.dat</w:t>
      </w:r>
    </w:p>
    <w:p>
      <w:pPr>
        <w:pStyle w:val="Normal"/>
        <w:widowControl w:val="false"/>
        <w:spacing w:lineRule="atLeast" w:line="259" w:before="0" w:after="0"/>
        <w:rPr>
          <w:rFonts w:ascii="Consolas" w:hAnsi="Consolas" w:cs="Consolas"/>
        </w:rPr>
      </w:pPr>
      <w:r>
        <w:rPr>
          <w:rFonts w:cs="Consolas" w:ascii="Consolas" w:hAnsi="Consolas"/>
        </w:rPr>
        <w:t>start cmd /k sqlio -kW -t30 -s30 -f64 -b8 -i1024 -BN testfileW.dat</w:t>
      </w:r>
    </w:p>
    <w:p>
      <w:pPr>
        <w:pStyle w:val="TextBody"/>
        <w:bidi w:val="0"/>
        <w:spacing w:lineRule="auto" w:line="331" w:before="0" w:after="0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Liberation Serif" w:hAnsi="Liberation Serif"/>
          <w:sz w:val="24"/>
          <w:szCs w:val="24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 xml:space="preserve">A “-b” paraméter beállításával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blokkméretet beállítani, a -b8 8kB-os blokkokat jelent.</w:t>
      </w:r>
    </w:p>
    <w:p>
      <w:pPr>
        <w:pStyle w:val="Heading2"/>
        <w:numPr>
          <w:ilvl w:val="1"/>
          <w:numId w:val="1"/>
        </w:numPr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Heading2"/>
        <w:numPr>
          <w:ilvl w:val="1"/>
          <w:numId w:val="1"/>
        </w:numPr>
        <w:rPr>
          <w:rFonts w:ascii="Liberation Serif" w:hAnsi="Liberation Serif"/>
        </w:rPr>
      </w:pPr>
      <w:r>
        <w:rPr>
          <w:rFonts w:ascii="Liberation Serif" w:hAnsi="Liberation Serif"/>
        </w:rPr>
        <w:t>Mérés:</w:t>
      </w:r>
    </w:p>
    <w:p>
      <w:pPr>
        <w:pStyle w:val="TextBody"/>
        <w:bidi w:val="0"/>
        <w:spacing w:lineRule="auto" w:line="331" w:before="0" w:after="0"/>
        <w:rPr>
          <w:rFonts w:ascii="Liberation Serif" w:hAnsi="Liberation Serif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4-8-16-64-256k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B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blokkmérettel 50/50% R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ead/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W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rite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1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00% Read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méréseket végzünk.</w:t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A mérések közben a dashboard-on is látható az írás/olvasás teljesítményének változása.</w:t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81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Heading2"/>
        <w:numPr>
          <w:ilvl w:val="1"/>
          <w:numId w:val="1"/>
        </w:numPr>
        <w:rPr/>
      </w:pPr>
      <w:r>
        <w:rPr/>
        <w:t>Eredmények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object>
          <v:shape id="ole_rId17" style="width:266.85pt;height:103.45pt" o:ole="">
            <v:imagedata r:id="rId18" o:title=""/>
          </v:shape>
          <o:OLEObject Type="Embed" ProgID="Excel.Sheet.12" ShapeID="ole_rId17" DrawAspect="Content" ObjectID="_844703380" r:id="rId17"/>
        </w:object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inline distT="0" distB="0" distL="0" distR="0">
            <wp:extent cx="5842000" cy="2354580"/>
            <wp:effectExtent l="0" t="0" r="0" b="0"/>
            <wp:docPr id="16" name="Object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object>
          <v:shape id="ole_rId20" style="width:266.85pt;height:103.45pt" o:ole="">
            <v:imagedata r:id="rId21" o:title=""/>
          </v:shape>
          <o:OLEObject Type="Embed" ProgID="Excel.Sheet.12" ShapeID="ole_rId20" DrawAspect="Content" ObjectID="_2140416306" r:id="rId20"/>
        </w:object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inline distT="0" distB="0" distL="0" distR="0">
            <wp:extent cx="5760085" cy="2814320"/>
            <wp:effectExtent l="0" t="0" r="0" b="0"/>
            <wp:docPr id="17" name="Object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>
      <w:pPr>
        <w:pStyle w:val="TextBody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TextBody"/>
        <w:spacing w:before="0" w:after="140"/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auto"/>
    <w:pitch w:val="default"/>
  </w:font>
  <w:font w:name="Consola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package" Target="embeddings/oleObject1.xlsx"/><Relationship Id="rId18" Type="http://schemas.openxmlformats.org/officeDocument/2006/relationships/image" Target="media/image16.emf"/><Relationship Id="rId19" Type="http://schemas.openxmlformats.org/officeDocument/2006/relationships/chart" Target="charts/chart1.xml"/><Relationship Id="rId20" Type="http://schemas.openxmlformats.org/officeDocument/2006/relationships/package" Target="embeddings/oleObject2.xlsx"/><Relationship Id="rId21" Type="http://schemas.openxmlformats.org/officeDocument/2006/relationships/image" Target="media/image17.emf"/><Relationship Id="rId22" Type="http://schemas.openxmlformats.org/officeDocument/2006/relationships/chart" Target="charts/chart2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Read100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64</c:v>
                </c:pt>
                <c:pt idx="4">
                  <c:v>256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52987.9</c:v>
                </c:pt>
                <c:pt idx="1">
                  <c:v>47862.63</c:v>
                </c:pt>
                <c:pt idx="2">
                  <c:v>45881.9</c:v>
                </c:pt>
                <c:pt idx="3">
                  <c:v>11318.39</c:v>
                </c:pt>
                <c:pt idx="4">
                  <c:v>3260.43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Read50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64</c:v>
                </c:pt>
                <c:pt idx="4">
                  <c:v>256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36260.86</c:v>
                </c:pt>
                <c:pt idx="1">
                  <c:v>31659.67</c:v>
                </c:pt>
                <c:pt idx="2">
                  <c:v>31795.03</c:v>
                </c:pt>
                <c:pt idx="3">
                  <c:v>12168.26</c:v>
                </c:pt>
                <c:pt idx="4">
                  <c:v>1975.05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Write50</c:v>
                </c:pt>
              </c:strCache>
            </c:strRef>
          </c:tx>
          <c:spPr>
            <a:solidFill>
              <a:srgbClr val="00a65d"/>
            </a:solidFill>
            <a:ln w="28800">
              <a:solidFill>
                <a:srgbClr val="00a65d"/>
              </a:solidFill>
              <a:round/>
            </a:ln>
          </c:spPr>
          <c:marker>
            <c:symbol val="triangle"/>
            <c:size val="8"/>
            <c:spPr>
              <a:solidFill>
                <a:srgbClr val="00a65d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64</c:v>
                </c:pt>
                <c:pt idx="4">
                  <c:v>256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5"/>
                <c:pt idx="0">
                  <c:v>32381.44</c:v>
                </c:pt>
                <c:pt idx="1">
                  <c:v>28913.36</c:v>
                </c:pt>
                <c:pt idx="2">
                  <c:v>28470.93</c:v>
                </c:pt>
                <c:pt idx="3">
                  <c:v>12189.47</c:v>
                </c:pt>
                <c:pt idx="4">
                  <c:v>2233.77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24889024"/>
        <c:axId val="30720801"/>
      </c:lineChart>
      <c:catAx>
        <c:axId val="2488902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30720801"/>
        <c:crosses val="autoZero"/>
        <c:auto val="1"/>
        <c:lblAlgn val="ctr"/>
        <c:lblOffset val="100"/>
      </c:catAx>
      <c:valAx>
        <c:axId val="30720801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24889024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b="0" sz="1000" spc="-1" strike="noStrike">
              <a:latin typeface="Arial"/>
            </a:defRPr>
          </a:pPr>
        </a:p>
      </c:txPr>
    </c:legend>
    <c:plotVisOnly val="1"/>
    <c:dispBlanksAs val="gap"/>
  </c:chart>
  <c:spPr>
    <a:solidFill>
      <a:srgbClr val="ffffff"/>
    </a:solidFill>
    <a:ln>
      <a:noFill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Read100</c:v>
                </c:pt>
              </c:strCache>
            </c:strRef>
          </c:tx>
          <c:spPr>
            <a:solidFill>
              <a:srgbClr val="004586"/>
            </a:solidFill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64</c:v>
                </c:pt>
                <c:pt idx="4">
                  <c:v>256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206.98</c:v>
                </c:pt>
                <c:pt idx="1">
                  <c:v>373.92</c:v>
                </c:pt>
                <c:pt idx="2">
                  <c:v>716.9</c:v>
                </c:pt>
                <c:pt idx="3">
                  <c:v>707.39</c:v>
                </c:pt>
                <c:pt idx="4">
                  <c:v>815.1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Read50</c:v>
                </c:pt>
              </c:strCache>
            </c:strRef>
          </c:tx>
          <c:spPr>
            <a:solidFill>
              <a:srgbClr val="ff420e"/>
            </a:solidFill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64</c:v>
                </c:pt>
                <c:pt idx="4">
                  <c:v>256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141.64</c:v>
                </c:pt>
                <c:pt idx="1">
                  <c:v>247.34</c:v>
                </c:pt>
                <c:pt idx="2">
                  <c:v>496.79</c:v>
                </c:pt>
                <c:pt idx="3">
                  <c:v>760.51</c:v>
                </c:pt>
                <c:pt idx="4">
                  <c:v>493.76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Write50</c:v>
                </c:pt>
              </c:strCache>
            </c:strRef>
          </c:tx>
          <c:spPr>
            <a:solidFill>
              <a:srgbClr val="00a65d"/>
            </a:solidFill>
            <a:ln w="28800">
              <a:solidFill>
                <a:srgbClr val="00a65d"/>
              </a:solidFill>
              <a:round/>
            </a:ln>
          </c:spPr>
          <c:marker>
            <c:symbol val="triangle"/>
            <c:size val="8"/>
            <c:spPr>
              <a:solidFill>
                <a:srgbClr val="00a65d"/>
              </a:solidFill>
            </c:spPr>
          </c:marker>
          <c:dLbls>
            <c:numFmt formatCode="General" sourceLinked="1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5"/>
                <c:pt idx="0">
                  <c:v>4</c:v>
                </c:pt>
                <c:pt idx="1">
                  <c:v>8</c:v>
                </c:pt>
                <c:pt idx="2">
                  <c:v>16</c:v>
                </c:pt>
                <c:pt idx="3">
                  <c:v>64</c:v>
                </c:pt>
                <c:pt idx="4">
                  <c:v>256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5"/>
                <c:pt idx="0">
                  <c:v>126.49</c:v>
                </c:pt>
                <c:pt idx="1">
                  <c:v>225.88</c:v>
                </c:pt>
                <c:pt idx="2">
                  <c:v>444.85</c:v>
                </c:pt>
                <c:pt idx="3">
                  <c:v>761.84</c:v>
                </c:pt>
                <c:pt idx="4">
                  <c:v>558.44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94081957"/>
        <c:axId val="92070816"/>
      </c:lineChart>
      <c:catAx>
        <c:axId val="94081957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92070816"/>
        <c:crosses val="autoZero"/>
        <c:auto val="1"/>
        <c:lblAlgn val="ctr"/>
        <c:lblOffset val="100"/>
      </c:catAx>
      <c:valAx>
        <c:axId val="92070816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b="0" sz="1000" spc="-1" strike="noStrike">
                <a:latin typeface="Arial"/>
              </a:defRPr>
            </a:pPr>
          </a:p>
        </c:txPr>
        <c:crossAx val="94081957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b="0" sz="1000" spc="-1" strike="noStrike">
              <a:latin typeface="Arial"/>
            </a:defRPr>
          </a:pPr>
        </a:p>
      </c:txPr>
    </c:legend>
    <c:plotVisOnly val="1"/>
    <c:dispBlanksAs val="gap"/>
  </c:chart>
  <c:spPr>
    <a:solidFill>
      <a:srgbClr val="ffffff"/>
    </a:solidFill>
    <a:ln>
      <a:noFill/>
    </a:ln>
  </c:spPr>
</c:chartSpac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LibreOffice/6.0.7.3$Linux_X86_64 LibreOffice_project/00m0$Build-3</Application>
  <Pages>11</Pages>
  <Words>262</Words>
  <Characters>1686</Characters>
  <CharactersWithSpaces>1922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2020-07-26T09:11:08Z</dcterms:created>
  <dc:creator/>
  <dc:description/>
  <dc:language>en-US</dc:language>
  <cp:lastModifiedBy/>
  <dcterms:modified xsi:type="dcterms:W3CDTF">2020-07-26T10:21:42Z</dcterms:modified>
  <cp:revision>11</cp:revision>
  <dc:subject/>
  <dc:title/>
</cp:coreProperties>
</file>