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RAPPORT STRATÉGIQUE</w:t>
        <w:br/>
        <w:t>Analyse des Pannes Réseau</w:t>
      </w:r>
    </w:p>
    <w:p>
      <w:pPr>
        <w:jc w:val="center"/>
      </w:pPr>
      <w:r>
        <w:rPr>
          <w:sz w:val="28"/>
        </w:rPr>
        <w:br/>
        <w:t>Analyse des 3 régions les plus critiques</w:t>
        <w:br/>
        <w:t>et recommandations pour la Direction Générale</w:t>
      </w:r>
    </w:p>
    <w:p>
      <w:r>
        <w:br/>
        <w:br/>
      </w:r>
    </w:p>
    <w:p>
      <w:pPr>
        <w:jc w:val="center"/>
      </w:pPr>
      <w:r>
        <w:rPr>
          <w:sz w:val="22"/>
        </w:rPr>
        <w:t>Projet : Dashboarding &amp; Pilotage CODIR</w:t>
        <w:br/>
        <w:t>Auteur : Analyste Data</w:t>
        <w:br/>
        <w:t>Date : 2026</w:t>
      </w:r>
    </w:p>
    <w:p>
      <w:r>
        <w:br w:type="page"/>
      </w:r>
    </w:p>
    <w:p>
      <w:pPr>
        <w:pStyle w:val="Heading1"/>
      </w:pPr>
      <w:r>
        <w:t>1. Contexte et objectifs</w:t>
      </w:r>
    </w:p>
    <w:p>
      <w:r>
        <w:t>Dans un contexte de forte concurrence et d’instabilité réseau, la Direction Générale a initié la migration des analyses vers Power BI afin d’améliorer la prise de décision stratégique. Ce rapport présente une analyse ciblée des régions les plus critiques ainsi que des recommandations opérationnelles.</w:t>
      </w:r>
    </w:p>
    <w:p>
      <w:pPr>
        <w:pStyle w:val="Heading1"/>
      </w:pPr>
      <w:r>
        <w:t>2. Indicateurs clés</w:t>
      </w:r>
    </w:p>
    <w:p>
      <w:r>
        <w:t>• Nombre total de pannes : 1 079</w:t>
      </w:r>
    </w:p>
    <w:p>
      <w:r>
        <w:t>• Durée totale des pannes : 69 000 minutes</w:t>
      </w:r>
    </w:p>
    <w:p>
      <w:r>
        <w:t>• Durée moyenne de résolution : 63,65 minutes</w:t>
      </w:r>
    </w:p>
    <w:p>
      <w:r>
        <w:t>• Pannes résolues : 1 084</w:t>
      </w:r>
    </w:p>
    <w:p>
      <w:r>
        <w:t>• Pannes non résolues : 362</w:t>
      </w:r>
    </w:p>
    <w:p>
      <w:pPr>
        <w:pStyle w:val="Heading1"/>
      </w:pPr>
      <w:r>
        <w:t>3. Analyse des régions critiques</w:t>
      </w:r>
    </w:p>
    <w:p>
      <w:r>
        <w:t>La première région se distingue par un volume élevé de pannes, traduisant une saturation des infrastructures et un besoin urgent de maintenance préventive.</w:t>
      </w:r>
    </w:p>
    <w:p>
      <w:r>
        <w:t>La deuxième région présente une durée moyenne de résolution élevée, révélant des inefficacités opérationnelles impactant directement l’expérience client.</w:t>
      </w:r>
    </w:p>
    <w:p>
      <w:r>
        <w:t>La troisième région génère un impact financier important, notamment en raison des compensations et remises accordées aux clients.</w:t>
      </w:r>
    </w:p>
    <w:p>
      <w:pPr>
        <w:pStyle w:val="Heading1"/>
      </w:pPr>
      <w:r>
        <w:t>4. Recommandations stratégiques</w:t>
      </w:r>
    </w:p>
    <w:p>
      <w:pPr>
        <w:pStyle w:val="ListBullet"/>
      </w:pPr>
      <w:r>
        <w:t>Renforcer les infrastructures dans les zones à forte densité de pannes.</w:t>
      </w:r>
    </w:p>
    <w:p>
      <w:pPr>
        <w:pStyle w:val="ListBullet"/>
      </w:pPr>
      <w:r>
        <w:t>Optimiser les processus d’intervention technique afin de réduire les délais de résolution.</w:t>
      </w:r>
    </w:p>
    <w:p>
      <w:pPr>
        <w:pStyle w:val="ListBullet"/>
      </w:pPr>
      <w:r>
        <w:t>Mettre en place un suivi rigoureux des pertes financières liées aux compensations.</w:t>
      </w:r>
    </w:p>
    <w:p>
      <w:pPr>
        <w:pStyle w:val="ListBullet"/>
      </w:pPr>
      <w:r>
        <w:t>Exploiter pleinement Power BI pour un pilotage en temps réel et une meilleure anticipation des incidents.</w:t>
      </w:r>
    </w:p>
    <w:p>
      <w:pPr>
        <w:pStyle w:val="Heading1"/>
      </w:pPr>
      <w:r>
        <w:t>5. Conclusion</w:t>
      </w:r>
    </w:p>
    <w:p>
      <w:r>
        <w:t>La mise en œuvre de ces recommandations permettra d’améliorer significativement la performance du réseau, de réduire les pertes financières et d’augmenter la satisfaction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